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14bis                                </w:t>
      </w:r>
      <w:bookmarkStart w:id="3" w:name="_GoBack"/>
      <w:bookmarkEnd w:id="3"/>
      <w:r>
        <w:rPr>
          <w:rFonts w:hint="eastAsia" w:ascii="Arial" w:hAnsi="Arial" w:cs="Arial"/>
          <w:b/>
          <w:sz w:val="24"/>
          <w:szCs w:val="24"/>
          <w:lang w:val="en-US" w:eastAsia="zh-CN"/>
        </w:rPr>
        <w:t>R4-2504006</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Testing issues for CSI compression two-sided models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7.20.2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w:t>
      </w: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rPr>
        <w:t xml:space="preserve">2 </w:t>
      </w:r>
      <w:r>
        <w:rPr>
          <w:b/>
          <w:kern w:val="0"/>
          <w:sz w:val="24"/>
          <w:szCs w:val="24"/>
        </w:rPr>
        <w:t>Discussion</w:t>
      </w:r>
    </w:p>
    <w:p>
      <w:pPr>
        <w:rPr>
          <w:rFonts w:hint="eastAsia" w:eastAsia="Yu Mincho"/>
          <w:b/>
          <w:u w:val="single"/>
          <w:lang w:eastAsia="ja-JP"/>
        </w:rPr>
      </w:pPr>
      <w:r>
        <w:rPr>
          <w:rFonts w:hint="eastAsia" w:eastAsia="Yu Mincho"/>
          <w:b/>
          <w:u w:val="single"/>
          <w:lang w:eastAsia="ja-JP"/>
        </w:rPr>
        <w:t>Refinement of option 3 track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u w:val="single"/>
              </w:rPr>
            </w:pPr>
            <w:r>
              <w:rPr>
                <w:rFonts w:hint="default"/>
                <w:szCs w:val="20"/>
                <w:u w:val="single"/>
              </w:rPr>
              <w:t>How to continue with track 1 until RAN4#114bis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Companies should provide quantized and unquantized models according to the advice above, in particular Samsung, CATT and Huawei.</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Yu Mincho"/>
                <w:b/>
                <w:szCs w:val="20"/>
                <w:u w:val="single"/>
                <w:vertAlign w:val="baseline"/>
                <w:lang w:val="en-US" w:eastAsia="zh-CN"/>
              </w:rPr>
            </w:pPr>
            <w:r>
              <w:rPr>
                <w:rFonts w:hint="default"/>
                <w:szCs w:val="24"/>
                <w:lang w:eastAsia="zh-CN"/>
              </w:rPr>
              <w:t>Each company is encouraged to train own encoder using the fixed decoder and their own dataset, and then test with every companies datasets, in order to check for consistency in results</w:t>
            </w:r>
          </w:p>
        </w:tc>
      </w:tr>
    </w:tbl>
    <w:p>
      <w:pPr>
        <w:jc w:val="both"/>
        <w:rPr>
          <w:rFonts w:hint="eastAsia" w:cs="Times New Roman"/>
          <w:b w:val="0"/>
          <w:bCs/>
          <w:szCs w:val="20"/>
          <w:u w:val="none"/>
          <w:lang w:val="en-US" w:eastAsia="zh-CN"/>
        </w:rPr>
      </w:pPr>
      <w:r>
        <w:rPr>
          <w:rFonts w:hint="eastAsia" w:cs="Times New Roman"/>
          <w:b w:val="0"/>
          <w:bCs/>
          <w:szCs w:val="20"/>
          <w:u w:val="none"/>
          <w:lang w:val="en-US" w:eastAsia="zh-CN"/>
        </w:rPr>
        <w:t xml:space="preserve">At the last meeting, companies provided the simulation results for quantized and unquantized models, almost all companies provided results using all uploaded decoders. However, based on results summary, different companies also show different results for the same frozen decoders. Only one frozen decoder showed similar results for different companies. </w:t>
      </w:r>
    </w:p>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Based on some companies' statements, it was mentioned that some frozen decoders did not align with the assumptions of the previous meeting, e.g., model input, quantization book, model output, etc. For track 1, RAN4 select decoders to train own encoders at least based on own dataset. Hence, the performance of track 1 is based on the design of decoder and training dataset. In last meeting, RAN4 further discussed the relevant parameters and achieved the following agreements. For 2 bit quantization, which aligned the codebook and inverse sigmoid,etc. In generally, the discussion of the last meeting was of some benefit to the convergence of results. The results of track 1 and track 2 still depend on the evaluation of the next meeting.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u w:val="single"/>
              </w:rPr>
            </w:pPr>
            <w:r>
              <w:rPr>
                <w:rFonts w:hint="default"/>
                <w:sz w:val="21"/>
                <w:szCs w:val="21"/>
                <w:u w:val="single"/>
              </w:rPr>
              <w:t>Agreements on quantization:</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 xml:space="preserve">Companies shall provide decoders with 2 bit quantization, and with no quantization </w:t>
            </w:r>
          </w:p>
          <w:p>
            <w:pPr>
              <w:pStyle w:val="33"/>
              <w:keepNext w:val="0"/>
              <w:keepLines w:val="0"/>
              <w:widowControl/>
              <w:numPr>
                <w:ilvl w:val="0"/>
                <w:numId w:val="7"/>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No quantization aware training when model is unquantized</w:t>
            </w:r>
          </w:p>
          <w:p>
            <w:pPr>
              <w:pStyle w:val="33"/>
              <w:keepNext w:val="0"/>
              <w:keepLines w:val="0"/>
              <w:widowControl/>
              <w:numPr>
                <w:ilvl w:val="0"/>
                <w:numId w:val="7"/>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rPr>
            </w:pPr>
            <w:r>
              <w:rPr>
                <w:rFonts w:hint="default"/>
                <w:sz w:val="21"/>
                <w:szCs w:val="21"/>
                <w:lang w:eastAsia="zh-CN"/>
              </w:rPr>
              <w:t>Quantization aware training when model is quantized</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For the model with quantization:</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 xml:space="preserve">Agree on a scaling and quantization codebook </w:t>
            </w:r>
          </w:p>
          <w:p>
            <w:pPr>
              <w:pStyle w:val="33"/>
              <w:keepNext w:val="0"/>
              <w:keepLines w:val="0"/>
              <w:widowControl/>
              <w:numPr>
                <w:ilvl w:val="2"/>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Include Sigmoid in model file in the encoder, and inverse Sigmoid in the decoder</w:t>
            </w:r>
          </w:p>
          <w:p>
            <w:pPr>
              <w:pStyle w:val="33"/>
              <w:keepNext w:val="0"/>
              <w:keepLines w:val="0"/>
              <w:widowControl/>
              <w:numPr>
                <w:ilvl w:val="2"/>
                <w:numId w:val="8"/>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Codebook (1/8, 3/8, 5/8, 7/8) in model file</w:t>
            </w:r>
          </w:p>
          <w:p>
            <w:pPr>
              <w:pStyle w:val="33"/>
              <w:keepNext w:val="0"/>
              <w:keepLines w:val="0"/>
              <w:widowControl/>
              <w:numPr>
                <w:ilvl w:val="2"/>
                <w:numId w:val="8"/>
              </w:numPr>
              <w:suppressLineNumbers w:val="0"/>
              <w:overflowPunct/>
              <w:autoSpaceDE/>
              <w:autoSpaceDN/>
              <w:adjustRightInd/>
              <w:spacing w:before="0" w:beforeAutospacing="0" w:after="120" w:afterAutospacing="0"/>
              <w:ind w:right="0" w:firstLineChars="0"/>
              <w:textAlignment w:val="auto"/>
              <w:rPr>
                <w:rFonts w:hint="default"/>
                <w:sz w:val="21"/>
                <w:szCs w:val="21"/>
                <w:lang w:eastAsia="zh-CN"/>
              </w:rPr>
            </w:pPr>
            <w:r>
              <w:rPr>
                <w:rFonts w:hint="default" w:eastAsia="宋体"/>
                <w:sz w:val="21"/>
                <w:szCs w:val="21"/>
                <w:lang w:eastAsia="zh-CN"/>
              </w:rPr>
              <w:t>Do not including mapping to 2 bits. Quantizer function of converting to 2 bits should not be in the model file</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For the model without quantization</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For no quantization models, do not include sigmoid at the model output and no inverse Sigmoid in the decoder</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u w:val="single"/>
                <w:lang w:eastAsia="zh-CN"/>
              </w:rPr>
              <w:t>Agreements regarding the input / output dimensionality:</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eastAsiaTheme="minorEastAsia"/>
                <w:sz w:val="21"/>
                <w:szCs w:val="21"/>
                <w:lang w:eastAsia="zh-TW"/>
              </w:rPr>
              <w:t>define Encoder Input and Decoder Output as data dimension (</w:t>
            </w:r>
            <w:r>
              <w:rPr>
                <w:rFonts w:hint="default" w:eastAsiaTheme="minorEastAsia"/>
                <w:i/>
                <w:iCs/>
                <w:sz w:val="21"/>
                <w:szCs w:val="21"/>
                <w:lang w:eastAsia="zh-TW"/>
              </w:rPr>
              <w:t>n</w:t>
            </w:r>
            <w:r>
              <w:rPr>
                <w:rFonts w:hint="default" w:eastAsiaTheme="minorEastAsia"/>
                <w:sz w:val="21"/>
                <w:szCs w:val="21"/>
                <w:lang w:eastAsia="zh-TW"/>
              </w:rPr>
              <w:t xml:space="preserve">, 2, 13, 32) with data type float32 where </w:t>
            </w:r>
            <w:r>
              <w:rPr>
                <w:rFonts w:hint="default" w:eastAsiaTheme="minorEastAsia"/>
                <w:i/>
                <w:iCs/>
                <w:sz w:val="21"/>
                <w:szCs w:val="21"/>
                <w:lang w:eastAsia="zh-TW"/>
              </w:rPr>
              <w:t>n</w:t>
            </w:r>
            <w:r>
              <w:rPr>
                <w:rFonts w:hint="default" w:eastAsiaTheme="minorEastAsia"/>
                <w:sz w:val="21"/>
                <w:szCs w:val="21"/>
                <w:lang w:eastAsia="zh-TW"/>
              </w:rPr>
              <w:t xml:space="preserve"> is the dynamic batch size</w:t>
            </w:r>
            <w:r>
              <w:rPr>
                <w:rFonts w:hint="default"/>
                <w:sz w:val="21"/>
                <w:szCs w:val="21"/>
                <w:lang w:eastAsia="zh-CN"/>
              </w:rPr>
              <w:t xml:space="preserve"> </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eastAsiaTheme="minorEastAsia"/>
                <w:sz w:val="21"/>
                <w:szCs w:val="21"/>
                <w:lang w:eastAsia="zh-TW"/>
              </w:rPr>
            </w:pPr>
            <w:r>
              <w:rPr>
                <w:rFonts w:hint="default" w:eastAsiaTheme="minorEastAsia"/>
                <w:sz w:val="21"/>
                <w:szCs w:val="21"/>
                <w:lang w:eastAsia="zh-TW"/>
              </w:rPr>
              <w:t>define Encoder Output and Decoder Input as data dimension (</w:t>
            </w:r>
            <w:r>
              <w:rPr>
                <w:rFonts w:hint="default" w:eastAsiaTheme="minorEastAsia"/>
                <w:i/>
                <w:iCs/>
                <w:sz w:val="21"/>
                <w:szCs w:val="21"/>
                <w:lang w:eastAsia="zh-TW"/>
              </w:rPr>
              <w:t>n</w:t>
            </w:r>
            <w:r>
              <w:rPr>
                <w:rFonts w:hint="default" w:eastAsiaTheme="minorEastAsia"/>
                <w:sz w:val="21"/>
                <w:szCs w:val="21"/>
                <w:lang w:eastAsia="zh-TW"/>
              </w:rPr>
              <w:t>, 32) with data type float</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eastAsia" w:cs="Times New Roman"/>
                <w:b w:val="0"/>
                <w:bCs/>
                <w:szCs w:val="20"/>
                <w:u w:val="none"/>
                <w:vertAlign w:val="baseline"/>
                <w:lang w:val="en-US" w:eastAsia="zh-CN"/>
              </w:rPr>
            </w:pPr>
            <w:r>
              <w:rPr>
                <w:rFonts w:hint="default" w:eastAsiaTheme="minorEastAsia"/>
                <w:sz w:val="21"/>
                <w:szCs w:val="21"/>
                <w:lang w:eastAsia="zh-TW"/>
              </w:rPr>
              <w:t xml:space="preserve"> No additional inputs </w:t>
            </w:r>
          </w:p>
        </w:tc>
      </w:tr>
    </w:tbl>
    <w:p>
      <w:pPr>
        <w:jc w:val="both"/>
        <w:rPr>
          <w:rFonts w:hint="default" w:cs="Times New Roman"/>
          <w:b w:val="0"/>
          <w:bCs/>
          <w:szCs w:val="20"/>
          <w:u w:val="none"/>
          <w:lang w:val="en-US" w:eastAsia="zh-CN"/>
        </w:rPr>
      </w:pPr>
      <w:r>
        <w:rPr>
          <w:rFonts w:hint="eastAsia" w:cs="Times New Roman"/>
          <w:b w:val="0"/>
          <w:bCs/>
          <w:szCs w:val="20"/>
          <w:u w:val="none"/>
          <w:lang w:val="en-US" w:eastAsia="zh-CN"/>
        </w:rPr>
        <w:t xml:space="preserve">For Track 1, as illustrated in above, select 3 decoders based on low, medium, high means SGCS out of available decoders. According to the previous meeting results summary, we select 3 decoders from CATT, Samsung and HW with low, medium, and high SGCS based on the latest update after RAN4 #114 meeting. The results as shown in following Table 1. </w:t>
      </w: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1. Simulation results for Track 1 of Option3</w:t>
      </w:r>
    </w:p>
    <w:tbl>
      <w:tblPr>
        <w:tblStyle w:val="22"/>
        <w:tblW w:w="3298" w:type="dxa"/>
        <w:jc w:val="center"/>
        <w:tblLayout w:type="fixed"/>
        <w:tblCellMar>
          <w:top w:w="0" w:type="dxa"/>
          <w:left w:w="108" w:type="dxa"/>
          <w:bottom w:w="0" w:type="dxa"/>
          <w:right w:w="108" w:type="dxa"/>
        </w:tblCellMar>
      </w:tblPr>
      <w:tblGrid>
        <w:gridCol w:w="1168"/>
        <w:gridCol w:w="900"/>
        <w:gridCol w:w="1230"/>
      </w:tblGrid>
      <w:tr>
        <w:tblPrEx>
          <w:tblCellMar>
            <w:top w:w="0" w:type="dxa"/>
            <w:left w:w="108" w:type="dxa"/>
            <w:bottom w:w="0" w:type="dxa"/>
            <w:right w:w="108" w:type="dxa"/>
          </w:tblCellMar>
        </w:tblPrEx>
        <w:trPr>
          <w:trHeight w:val="90" w:hRule="atLeast"/>
          <w:jc w:val="center"/>
        </w:trPr>
        <w:tc>
          <w:tcPr>
            <w:tcW w:w="2068"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eastAsia" w:eastAsia="等线"/>
                <w:color w:val="000000"/>
                <w:sz w:val="18"/>
                <w:szCs w:val="20"/>
                <w:lang w:val="en-US" w:eastAsia="zh-CN"/>
              </w:rPr>
              <w:t>Decoder</w:t>
            </w:r>
          </w:p>
        </w:tc>
        <w:tc>
          <w:tcPr>
            <w:tcW w:w="1230"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Samsung</w:t>
            </w:r>
          </w:p>
        </w:tc>
      </w:tr>
      <w:tr>
        <w:tblPrEx>
          <w:tblCellMar>
            <w:top w:w="0" w:type="dxa"/>
            <w:left w:w="108" w:type="dxa"/>
            <w:bottom w:w="0" w:type="dxa"/>
            <w:right w:w="108" w:type="dxa"/>
          </w:tblCellMar>
        </w:tblPrEx>
        <w:trPr>
          <w:trHeight w:val="580" w:hRule="atLeast"/>
          <w:jc w:val="center"/>
        </w:trPr>
        <w:tc>
          <w:tcPr>
            <w:tcW w:w="1168"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CSI feedback</w:t>
            </w:r>
          </w:p>
        </w:tc>
        <w:tc>
          <w:tcPr>
            <w:tcW w:w="900" w:type="dxa"/>
            <w:vMerge w:val="restart"/>
            <w:tcBorders>
              <w:top w:val="single" w:color="auto" w:sz="4" w:space="0"/>
              <w:left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r>
              <w:rPr>
                <w:rFonts w:hint="default" w:eastAsia="等线"/>
                <w:color w:val="000000"/>
                <w:sz w:val="18"/>
                <w:szCs w:val="20"/>
                <w:lang w:val="en-US"/>
              </w:rPr>
              <w:t>Training dataset</w:t>
            </w: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default"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Test dataset</w:t>
            </w:r>
          </w:p>
        </w:tc>
      </w:tr>
      <w:tr>
        <w:tblPrEx>
          <w:tblCellMar>
            <w:top w:w="0" w:type="dxa"/>
            <w:left w:w="108" w:type="dxa"/>
            <w:bottom w:w="0" w:type="dxa"/>
            <w:right w:w="108" w:type="dxa"/>
          </w:tblCellMar>
        </w:tblPrEx>
        <w:trPr>
          <w:trHeight w:val="580" w:hRule="atLeast"/>
          <w:jc w:val="center"/>
        </w:trPr>
        <w:tc>
          <w:tcPr>
            <w:tcW w:w="1168"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p>
        </w:tc>
        <w:tc>
          <w:tcPr>
            <w:tcW w:w="900" w:type="dxa"/>
            <w:vMerge w:val="continue"/>
            <w:tcBorders>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eastAsia" w:eastAsia="等线"/>
                <w:color w:val="000000"/>
                <w:sz w:val="18"/>
                <w:szCs w:val="20"/>
                <w:lang w:val="en-US" w:eastAsia="zh-CN"/>
              </w:rPr>
            </w:pP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leftChars="0" w:right="0" w:rightChars="0"/>
              <w:jc w:val="center"/>
              <w:rPr>
                <w:rFonts w:hint="default" w:ascii="Times New Roman" w:hAnsi="Times New Roman" w:eastAsia="等线" w:cs="Times New Roman"/>
                <w:color w:val="000000"/>
                <w:kern w:val="2"/>
                <w:sz w:val="18"/>
                <w:szCs w:val="20"/>
                <w:lang w:val="en-US" w:eastAsia="zh-CN" w:bidi="ar-SA"/>
              </w:rPr>
            </w:pPr>
            <w:r>
              <w:rPr>
                <w:rFonts w:hint="default" w:eastAsia="等线"/>
                <w:color w:val="000000"/>
                <w:sz w:val="18"/>
                <w:szCs w:val="20"/>
                <w:lang w:val="en-US"/>
              </w:rPr>
              <w:t>UMa</w:t>
            </w:r>
          </w:p>
        </w:tc>
      </w:tr>
      <w:tr>
        <w:tblPrEx>
          <w:tblCellMar>
            <w:top w:w="0" w:type="dxa"/>
            <w:left w:w="108" w:type="dxa"/>
            <w:bottom w:w="0" w:type="dxa"/>
            <w:right w:w="108" w:type="dxa"/>
          </w:tblCellMar>
        </w:tblPrEx>
        <w:trPr>
          <w:trHeight w:val="838" w:hRule="atLeast"/>
          <w:jc w:val="center"/>
        </w:trPr>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Unquantized</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default" w:eastAsia="等线"/>
                <w:color w:val="000000"/>
                <w:sz w:val="18"/>
                <w:szCs w:val="20"/>
                <w:lang w:val="en-US"/>
              </w:rPr>
              <w:t>UMa</w:t>
            </w: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0.72</w:t>
            </w:r>
          </w:p>
        </w:tc>
      </w:tr>
      <w:tr>
        <w:tblPrEx>
          <w:tblCellMar>
            <w:top w:w="0" w:type="dxa"/>
            <w:left w:w="108" w:type="dxa"/>
            <w:bottom w:w="0" w:type="dxa"/>
            <w:right w:w="108" w:type="dxa"/>
          </w:tblCellMar>
        </w:tblPrEx>
        <w:trPr>
          <w:trHeight w:val="838" w:hRule="atLeast"/>
          <w:jc w:val="center"/>
        </w:trPr>
        <w:tc>
          <w:tcPr>
            <w:tcW w:w="116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Quantized</w:t>
            </w:r>
          </w:p>
        </w:tc>
        <w:tc>
          <w:tcPr>
            <w:tcW w:w="9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rPr>
            </w:pPr>
            <w:r>
              <w:rPr>
                <w:rFonts w:hint="default" w:eastAsia="等线"/>
                <w:color w:val="000000"/>
                <w:sz w:val="18"/>
                <w:szCs w:val="20"/>
                <w:lang w:val="en-US"/>
              </w:rPr>
              <w:t>UMa</w:t>
            </w:r>
          </w:p>
        </w:tc>
        <w:tc>
          <w:tcPr>
            <w:tcW w:w="1230"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spacing w:before="24" w:beforeLines="10" w:beforeAutospacing="0" w:after="24" w:afterLines="10" w:afterAutospacing="0" w:line="288" w:lineRule="auto"/>
              <w:ind w:left="0" w:right="0"/>
              <w:jc w:val="center"/>
              <w:rPr>
                <w:rFonts w:hint="default" w:eastAsia="等线"/>
                <w:color w:val="000000"/>
                <w:sz w:val="18"/>
                <w:szCs w:val="20"/>
                <w:lang w:val="en-US" w:eastAsia="zh-CN"/>
              </w:rPr>
            </w:pPr>
            <w:r>
              <w:rPr>
                <w:rFonts w:hint="eastAsia" w:eastAsia="等线"/>
                <w:color w:val="000000"/>
                <w:sz w:val="18"/>
                <w:szCs w:val="20"/>
                <w:lang w:val="en-US" w:eastAsia="zh-CN"/>
              </w:rPr>
              <w:t>0.66</w:t>
            </w:r>
          </w:p>
        </w:tc>
      </w:tr>
    </w:tbl>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1. We used a decoder from a company and train the encoder with our own dataset, the results without quantization and with quantization is about 0.72 and 0.66. </w:t>
      </w:r>
    </w:p>
    <w:p>
      <w:pPr>
        <w:jc w:val="both"/>
        <w:rPr>
          <w:rFonts w:hint="default" w:cs="Times New Roman"/>
          <w:b w:val="0"/>
          <w:bCs/>
          <w:szCs w:val="20"/>
          <w:u w:val="none"/>
          <w:lang w:val="en-US" w:eastAsia="zh-CN"/>
        </w:rPr>
      </w:pPr>
      <w:r>
        <w:rPr>
          <w:rFonts w:hint="eastAsia" w:cs="Times New Roman"/>
          <w:b w:val="0"/>
          <w:bCs/>
          <w:szCs w:val="20"/>
          <w:u w:val="none"/>
          <w:lang w:val="en-US" w:eastAsia="zh-CN"/>
        </w:rPr>
        <w:t>Regarding Track 2, according to the latest mixed dataset, updated after RAN4 #114 meeting. Firstly, we used the mixed dataset to train encoder and decoder pairs, and used each company</w:t>
      </w:r>
      <w:r>
        <w:rPr>
          <w:rFonts w:hint="default" w:cs="Times New Roman"/>
          <w:b w:val="0"/>
          <w:bCs/>
          <w:szCs w:val="20"/>
          <w:u w:val="none"/>
          <w:lang w:val="en-US" w:eastAsia="zh-CN"/>
        </w:rPr>
        <w:t>’</w:t>
      </w:r>
      <w:r>
        <w:rPr>
          <w:rFonts w:hint="eastAsia" w:cs="Times New Roman"/>
          <w:b w:val="0"/>
          <w:bCs/>
          <w:szCs w:val="20"/>
          <w:u w:val="none"/>
          <w:lang w:val="en-US" w:eastAsia="zh-CN"/>
        </w:rPr>
        <w:t xml:space="preserve">s datset to test the trained models. We also evaluated the quantized and unquantized cases. The results can be found in the following Table 2. </w:t>
      </w:r>
    </w:p>
    <w:p>
      <w:pPr>
        <w:jc w:val="center"/>
        <w:rPr>
          <w:rFonts w:hint="eastAsia" w:cs="Times New Roman"/>
          <w:b w:val="0"/>
          <w:bCs/>
          <w:szCs w:val="20"/>
          <w:u w:val="none"/>
          <w:lang w:val="en-US" w:eastAsia="zh-CN"/>
        </w:rPr>
      </w:pPr>
      <w:r>
        <w:rPr>
          <w:rFonts w:hint="eastAsia" w:cs="Times New Roman"/>
          <w:b w:val="0"/>
          <w:bCs/>
          <w:szCs w:val="20"/>
          <w:u w:val="none"/>
          <w:lang w:val="en-US" w:eastAsia="zh-CN"/>
        </w:rPr>
        <w:t>Table 2. Simulation results for Track 2</w:t>
      </w:r>
    </w:p>
    <w:tbl>
      <w:tblPr>
        <w:tblStyle w:val="23"/>
        <w:tblW w:w="5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1588"/>
        <w:gridCol w:w="1685"/>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6" w:hRule="atLeast"/>
          <w:jc w:val="center"/>
        </w:trPr>
        <w:tc>
          <w:tcPr>
            <w:tcW w:w="1588" w:type="dxa"/>
            <w:shd w:val="clear" w:color="auto" w:fill="E7E6E6"/>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Calibri"/>
                <w:b/>
                <w:bCs/>
                <w:kern w:val="0"/>
                <w:sz w:val="18"/>
                <w:szCs w:val="20"/>
                <w:lang w:eastAsia="en-US"/>
              </w:rPr>
            </w:pPr>
            <w:r>
              <w:rPr>
                <w:rFonts w:hint="default" w:ascii="Arial" w:hAnsi="Arial" w:eastAsia="Calibri" w:cs="Arial"/>
                <w:b/>
                <w:kern w:val="0"/>
                <w:sz w:val="18"/>
                <w:szCs w:val="18"/>
                <w:lang w:eastAsia="en-US"/>
              </w:rPr>
              <w:t>Test set</w:t>
            </w:r>
          </w:p>
        </w:tc>
        <w:tc>
          <w:tcPr>
            <w:tcW w:w="1685" w:type="dxa"/>
            <w:shd w:val="clear" w:color="auto" w:fill="E7E6E6"/>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Calibri"/>
                <w:b/>
                <w:bCs/>
                <w:kern w:val="0"/>
                <w:sz w:val="18"/>
                <w:szCs w:val="20"/>
                <w:lang w:val="en-US" w:eastAsia="en-US"/>
              </w:rPr>
            </w:pPr>
            <w:r>
              <w:rPr>
                <w:rFonts w:hint="eastAsia" w:ascii="Arial" w:hAnsi="Arial" w:eastAsia="Calibri"/>
                <w:b/>
                <w:bCs/>
                <w:kern w:val="0"/>
                <w:sz w:val="18"/>
                <w:szCs w:val="20"/>
                <w:lang w:val="en-US" w:eastAsia="zh-CN"/>
              </w:rPr>
              <w:t xml:space="preserve"> Unquantized</w:t>
            </w:r>
          </w:p>
        </w:tc>
        <w:tc>
          <w:tcPr>
            <w:tcW w:w="1972" w:type="dxa"/>
            <w:shd w:val="clear" w:color="auto" w:fill="E7E6E6"/>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b/>
                <w:bCs/>
                <w:kern w:val="0"/>
                <w:sz w:val="18"/>
                <w:szCs w:val="20"/>
                <w:lang w:val="en-US" w:eastAsia="zh-CN"/>
              </w:rPr>
            </w:pPr>
            <w:r>
              <w:rPr>
                <w:rFonts w:hint="eastAsia" w:ascii="Arial" w:hAnsi="Arial" w:eastAsia="宋体"/>
                <w:b/>
                <w:bCs/>
                <w:kern w:val="0"/>
                <w:sz w:val="18"/>
                <w:szCs w:val="20"/>
                <w:lang w:val="en-US" w:eastAsia="zh-CN"/>
              </w:rPr>
              <w:t>Quantized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66" w:hRule="atLeast"/>
          <w:jc w:val="center"/>
        </w:trPr>
        <w:tc>
          <w:tcPr>
            <w:tcW w:w="1588"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left"/>
              <w:textAlignment w:val="baseline"/>
              <w:rPr>
                <w:rFonts w:hint="default" w:ascii="Arial" w:hAnsi="Arial" w:eastAsia="Calibri"/>
                <w:kern w:val="0"/>
                <w:sz w:val="18"/>
                <w:szCs w:val="20"/>
                <w:lang w:eastAsia="en-US"/>
              </w:rPr>
            </w:pPr>
            <w:r>
              <w:rPr>
                <w:rFonts w:hint="default" w:ascii="Arial" w:hAnsi="Arial" w:eastAsia="Calibri" w:cs="Arial"/>
                <w:color w:val="000000"/>
                <w:kern w:val="0"/>
                <w:sz w:val="18"/>
                <w:szCs w:val="18"/>
                <w:lang w:eastAsia="en-US"/>
              </w:rPr>
              <w:t>Mixed</w:t>
            </w:r>
          </w:p>
        </w:tc>
        <w:tc>
          <w:tcPr>
            <w:tcW w:w="1685"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0.71</w:t>
            </w:r>
          </w:p>
        </w:tc>
        <w:tc>
          <w:tcPr>
            <w:tcW w:w="1972"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66" w:hRule="atLeast"/>
          <w:jc w:val="center"/>
        </w:trPr>
        <w:tc>
          <w:tcPr>
            <w:tcW w:w="1588"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left"/>
              <w:textAlignment w:val="baseline"/>
              <w:rPr>
                <w:rFonts w:hint="default" w:ascii="Arial" w:hAnsi="Arial" w:eastAsia="Calibri" w:cs="Arial"/>
                <w:color w:val="000000"/>
                <w:kern w:val="0"/>
                <w:sz w:val="18"/>
                <w:szCs w:val="18"/>
                <w:lang w:eastAsia="en-US"/>
              </w:rPr>
            </w:pPr>
            <w:r>
              <w:rPr>
                <w:rFonts w:hint="default" w:ascii="Arial" w:hAnsi="Arial" w:eastAsia="Calibri" w:cs="Arial"/>
                <w:color w:val="000000"/>
                <w:kern w:val="0"/>
                <w:sz w:val="18"/>
                <w:szCs w:val="18"/>
                <w:lang w:eastAsia="en-US"/>
              </w:rPr>
              <w:t>Ericsson</w:t>
            </w:r>
          </w:p>
        </w:tc>
        <w:tc>
          <w:tcPr>
            <w:tcW w:w="1685"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0.71</w:t>
            </w:r>
          </w:p>
        </w:tc>
        <w:tc>
          <w:tcPr>
            <w:tcW w:w="1972"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66" w:hRule="atLeast"/>
          <w:jc w:val="center"/>
        </w:trPr>
        <w:tc>
          <w:tcPr>
            <w:tcW w:w="1588"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left"/>
              <w:textAlignment w:val="baseline"/>
              <w:rPr>
                <w:rFonts w:hint="default" w:ascii="Arial" w:hAnsi="Arial" w:eastAsia="Calibri" w:cs="Arial"/>
                <w:color w:val="000000"/>
                <w:kern w:val="0"/>
                <w:sz w:val="18"/>
                <w:szCs w:val="18"/>
                <w:lang w:eastAsia="en-US"/>
              </w:rPr>
            </w:pPr>
            <w:r>
              <w:rPr>
                <w:rFonts w:hint="default" w:ascii="Arial" w:hAnsi="Arial" w:eastAsia="Calibri" w:cs="Arial"/>
                <w:color w:val="000000"/>
                <w:kern w:val="0"/>
                <w:sz w:val="18"/>
                <w:szCs w:val="18"/>
                <w:lang w:eastAsia="en-US"/>
              </w:rPr>
              <w:t>Mediatek</w:t>
            </w:r>
          </w:p>
        </w:tc>
        <w:tc>
          <w:tcPr>
            <w:tcW w:w="1685"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0.73</w:t>
            </w:r>
          </w:p>
        </w:tc>
        <w:tc>
          <w:tcPr>
            <w:tcW w:w="1972"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66" w:hRule="atLeast"/>
          <w:jc w:val="center"/>
        </w:trPr>
        <w:tc>
          <w:tcPr>
            <w:tcW w:w="1588"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left"/>
              <w:textAlignment w:val="baseline"/>
              <w:rPr>
                <w:rFonts w:hint="default" w:ascii="Arial" w:hAnsi="Arial" w:eastAsia="Calibri" w:cs="Arial"/>
                <w:color w:val="000000"/>
                <w:kern w:val="0"/>
                <w:sz w:val="18"/>
                <w:szCs w:val="18"/>
                <w:lang w:eastAsia="en-US"/>
              </w:rPr>
            </w:pPr>
            <w:r>
              <w:rPr>
                <w:rFonts w:hint="default" w:ascii="Arial" w:hAnsi="Arial" w:eastAsia="Calibri" w:cs="Arial"/>
                <w:color w:val="000000"/>
                <w:kern w:val="0"/>
                <w:sz w:val="18"/>
                <w:szCs w:val="18"/>
                <w:lang w:eastAsia="en-US"/>
              </w:rPr>
              <w:t>Nokia</w:t>
            </w:r>
          </w:p>
        </w:tc>
        <w:tc>
          <w:tcPr>
            <w:tcW w:w="1685"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0.71</w:t>
            </w:r>
          </w:p>
        </w:tc>
        <w:tc>
          <w:tcPr>
            <w:tcW w:w="1972"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66" w:hRule="atLeast"/>
          <w:jc w:val="center"/>
        </w:trPr>
        <w:tc>
          <w:tcPr>
            <w:tcW w:w="1588"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left"/>
              <w:textAlignment w:val="baseline"/>
              <w:rPr>
                <w:rFonts w:hint="default" w:ascii="Arial" w:hAnsi="Arial" w:eastAsia="Calibri" w:cs="Arial"/>
                <w:color w:val="000000"/>
                <w:kern w:val="0"/>
                <w:sz w:val="18"/>
                <w:szCs w:val="18"/>
                <w:lang w:eastAsia="en-US"/>
              </w:rPr>
            </w:pPr>
            <w:r>
              <w:rPr>
                <w:rFonts w:hint="default" w:ascii="Arial" w:hAnsi="Arial" w:eastAsia="Calibri" w:cs="Arial"/>
                <w:color w:val="000000"/>
                <w:kern w:val="0"/>
                <w:sz w:val="18"/>
                <w:szCs w:val="18"/>
                <w:lang w:eastAsia="en-US"/>
              </w:rPr>
              <w:t>Oppo</w:t>
            </w:r>
          </w:p>
        </w:tc>
        <w:tc>
          <w:tcPr>
            <w:tcW w:w="1685"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0.71</w:t>
            </w:r>
          </w:p>
        </w:tc>
        <w:tc>
          <w:tcPr>
            <w:tcW w:w="1972"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82" w:hRule="atLeast"/>
          <w:jc w:val="center"/>
        </w:trPr>
        <w:tc>
          <w:tcPr>
            <w:tcW w:w="1588"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left"/>
              <w:textAlignment w:val="baseline"/>
              <w:rPr>
                <w:rFonts w:hint="default" w:ascii="Arial" w:hAnsi="Arial" w:eastAsia="Calibri" w:cs="Arial"/>
                <w:color w:val="000000"/>
                <w:kern w:val="0"/>
                <w:sz w:val="18"/>
                <w:szCs w:val="18"/>
                <w:lang w:eastAsia="en-US"/>
              </w:rPr>
            </w:pPr>
            <w:r>
              <w:rPr>
                <w:rFonts w:hint="default" w:ascii="Arial" w:hAnsi="Arial" w:eastAsia="Calibri" w:cs="Arial"/>
                <w:color w:val="000000"/>
                <w:kern w:val="0"/>
                <w:sz w:val="18"/>
                <w:szCs w:val="18"/>
                <w:lang w:eastAsia="en-US"/>
              </w:rPr>
              <w:t>Vivo</w:t>
            </w:r>
          </w:p>
        </w:tc>
        <w:tc>
          <w:tcPr>
            <w:tcW w:w="1685"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0.68</w:t>
            </w:r>
          </w:p>
        </w:tc>
        <w:tc>
          <w:tcPr>
            <w:tcW w:w="1972" w:type="dxa"/>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ind w:left="0" w:right="0"/>
              <w:jc w:val="center"/>
              <w:textAlignment w:val="baseline"/>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0.62</w:t>
            </w:r>
          </w:p>
        </w:tc>
      </w:tr>
    </w:tbl>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2. From our simulation results, we use mixed dataset and five companies datasets to do test, the results of unquantization is about 0.71, and quantization is about 0.65 for mixed dataset. </w:t>
      </w:r>
    </w:p>
    <w:p>
      <w:pPr>
        <w:jc w:val="both"/>
        <w:rPr>
          <w:rFonts w:hint="default" w:cs="Times New Roman"/>
          <w:b w:val="0"/>
          <w:bCs/>
          <w:szCs w:val="20"/>
          <w:u w:val="none"/>
          <w:lang w:val="en-US" w:eastAsia="zh-CN"/>
        </w:rPr>
      </w:pPr>
      <w:r>
        <w:rPr>
          <w:rFonts w:hint="eastAsia" w:cs="Times New Roman"/>
          <w:b w:val="0"/>
          <w:bCs/>
          <w:szCs w:val="20"/>
          <w:u w:val="none"/>
          <w:lang w:val="en-US" w:eastAsia="zh-CN"/>
        </w:rPr>
        <w:t>Meanwhile, according to the email discussion after the meeting, RAN4 agreed to choose the frozen decoder of lower median SGCS to train the encoder based on the the mixed dataset or the private dataset of each company</w:t>
      </w:r>
      <w:r>
        <w:rPr>
          <w:rFonts w:hint="default" w:cs="Times New Roman"/>
          <w:b w:val="0"/>
          <w:bCs/>
          <w:szCs w:val="20"/>
          <w:u w:val="none"/>
          <w:lang w:val="en-US" w:eastAsia="zh-CN"/>
        </w:rPr>
        <w:t>’</w:t>
      </w:r>
      <w:r>
        <w:rPr>
          <w:rFonts w:hint="eastAsia" w:cs="Times New Roman"/>
          <w:b w:val="0"/>
          <w:bCs/>
          <w:szCs w:val="20"/>
          <w:u w:val="none"/>
          <w:lang w:val="en-US" w:eastAsia="zh-CN"/>
        </w:rPr>
        <w:t xml:space="preserve">s. According to this guidance, we performed an evaluation based on the proposed decoder, including both quantized and non quantized results. Further more, as mentioned in WF[2], we also used mixed dataset to test our encoder based on the training of mixed dataset or the private dataset. Since the mixed datset may be well aligned. Our simulation results can be found in the following Table 3.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u w:val="single"/>
              </w:rPr>
            </w:pPr>
            <w:r>
              <w:rPr>
                <w:rFonts w:hint="default"/>
                <w:szCs w:val="20"/>
                <w:u w:val="single"/>
              </w:rPr>
              <w:t>Dataset agreement: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Cs/>
                <w:szCs w:val="20"/>
                <w:lang w:val="en-US" w:eastAsia="zh-CN"/>
              </w:rPr>
            </w:pPr>
            <w:r>
              <w:rPr>
                <w:rFonts w:hint="default"/>
                <w:iCs/>
                <w:szCs w:val="20"/>
                <w:lang w:val="en-US" w:eastAsia="zh-CN"/>
              </w:rPr>
              <w:t>Take mixed dataset comprising Mediatek, Ericsson, Vivo, Oppo, Nokia</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u w:val="single"/>
                <w:lang w:val="en-US"/>
              </w:rPr>
            </w:pPr>
            <w:r>
              <w:rPr>
                <w:rFonts w:hint="default"/>
                <w:szCs w:val="20"/>
                <w:u w:val="single"/>
                <w:lang w:val="en-US"/>
              </w:rPr>
              <w:t>How to continue with track 2 until RAN4#114bis:</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val="en-US"/>
              </w:rPr>
            </w:pPr>
            <w:r>
              <w:rPr>
                <w:rFonts w:hint="default"/>
                <w:szCs w:val="20"/>
                <w:lang w:val="en-US"/>
              </w:rPr>
              <w:t>The mixed dataset will be revised such that it comprises data from the 5 above companies and uploaded to the folder for RAN4#114.</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i/>
                <w:szCs w:val="20"/>
                <w:lang w:val="en-US" w:eastAsia="zh-CN"/>
              </w:rPr>
            </w:pPr>
            <w:r>
              <w:rPr>
                <w:rFonts w:hint="default"/>
                <w:iCs/>
                <w:szCs w:val="20"/>
                <w:lang w:val="en-US" w:eastAsia="zh-CN"/>
              </w:rPr>
              <w:t xml:space="preserve">Companies requested to provide new models based on this mixed dataset together with SGCS </w:t>
            </w:r>
            <w:r>
              <w:rPr>
                <w:rFonts w:hint="default"/>
                <w:b/>
                <w:bCs/>
                <w:iCs/>
                <w:szCs w:val="20"/>
                <w:lang w:val="en-US" w:eastAsia="zh-CN"/>
              </w:rPr>
              <w:t>within 2 weeks</w:t>
            </w:r>
            <w:r>
              <w:rPr>
                <w:rFonts w:hint="eastAsia"/>
                <w:i/>
                <w:szCs w:val="20"/>
                <w:lang w:val="en-US" w:eastAsia="zh-CN"/>
              </w:rPr>
              <w:t xml:space="preserve"> </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Cs w:val="24"/>
                <w:lang w:eastAsia="zh-CN"/>
              </w:rPr>
            </w:pPr>
            <w:r>
              <w:rPr>
                <w:rFonts w:hint="default"/>
                <w:szCs w:val="24"/>
                <w:lang w:eastAsia="zh-CN"/>
              </w:rPr>
              <w:t>The model with median SGCS will be selected for the frozen decoder. If an even number, choose the model below the median</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cs="Times New Roman"/>
                <w:b w:val="0"/>
                <w:bCs/>
                <w:szCs w:val="20"/>
                <w:u w:val="none"/>
                <w:vertAlign w:val="baseline"/>
                <w:lang w:val="en-US" w:eastAsia="zh-CN"/>
              </w:rPr>
            </w:pPr>
            <w:r>
              <w:rPr>
                <w:rFonts w:hint="default"/>
                <w:szCs w:val="24"/>
                <w:lang w:eastAsia="zh-CN"/>
              </w:rPr>
              <w:t>Once the frozen decoder is selected, companies are invited to train their own encoders using the mixed dataset or/and private dataset and test using the mixed test dataset</w:t>
            </w:r>
            <w:r>
              <w:rPr>
                <w:rFonts w:hint="eastAsia"/>
                <w:szCs w:val="24"/>
                <w:lang w:val="en-US" w:eastAsia="zh-CN"/>
              </w:rPr>
              <w:t>.</w:t>
            </w:r>
          </w:p>
        </w:tc>
      </w:tr>
    </w:tbl>
    <w:p>
      <w:pPr>
        <w:jc w:val="both"/>
        <w:rPr>
          <w:rFonts w:hint="default" w:cs="Times New Roman"/>
          <w:b w:val="0"/>
          <w:bCs/>
          <w:szCs w:val="20"/>
          <w:u w:val="none"/>
          <w:lang w:val="en-US" w:eastAsia="zh-CN"/>
        </w:rPr>
      </w:pPr>
    </w:p>
    <w:p>
      <w:pPr>
        <w:jc w:val="both"/>
        <w:rPr>
          <w:rFonts w:hint="eastAsia" w:cs="Times New Roman"/>
          <w:b w:val="0"/>
          <w:bCs/>
          <w:szCs w:val="20"/>
          <w:u w:val="none"/>
          <w:lang w:val="en-US" w:eastAsia="zh-CN"/>
        </w:rPr>
      </w:pPr>
    </w:p>
    <w:p>
      <w:pPr>
        <w:jc w:val="center"/>
        <w:rPr>
          <w:rFonts w:hint="default" w:cs="Times New Roman"/>
          <w:b w:val="0"/>
          <w:bCs/>
          <w:szCs w:val="20"/>
          <w:u w:val="none"/>
          <w:lang w:val="en-US" w:eastAsia="zh-CN"/>
        </w:rPr>
      </w:pPr>
      <w:r>
        <w:rPr>
          <w:rFonts w:hint="eastAsia" w:cs="Times New Roman"/>
          <w:b w:val="0"/>
          <w:bCs/>
          <w:szCs w:val="20"/>
          <w:u w:val="none"/>
          <w:lang w:val="en-US" w:eastAsia="zh-CN"/>
        </w:rPr>
        <w:t>Table 3. Simulation results for Track 2 with frozen decoder</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1410"/>
        <w:gridCol w:w="1410"/>
        <w:gridCol w:w="1410"/>
        <w:gridCol w:w="141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Traing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Test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Quantization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Encoder</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Decoder</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SGCS of CNN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W/O</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Mixed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W/O</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restart"/>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Cs w:val="20"/>
                <w:lang w:val="en-US" w:eastAsia="zh-CN"/>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0" w:type="dxa"/>
            <w:vMerge w:val="continue"/>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Own dataset</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W/O</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CNN</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Samsung</w:t>
            </w:r>
          </w:p>
        </w:tc>
        <w:tc>
          <w:tcPr>
            <w:tcW w:w="141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Cs w:val="20"/>
                <w:lang w:val="en-US" w:eastAsia="zh-CN"/>
              </w:rPr>
            </w:pPr>
            <w:r>
              <w:rPr>
                <w:rFonts w:hint="eastAsia"/>
                <w:szCs w:val="20"/>
                <w:lang w:val="en-US" w:eastAsia="zh-CN"/>
              </w:rPr>
              <w:t>0.63</w:t>
            </w:r>
          </w:p>
        </w:tc>
      </w:tr>
    </w:tbl>
    <w:p>
      <w:pPr>
        <w:jc w:val="both"/>
        <w:rPr>
          <w:rFonts w:hint="eastAsia" w:cs="Times New Roman"/>
          <w:b/>
          <w:bCs w:val="0"/>
          <w:i/>
          <w:iCs/>
          <w:szCs w:val="20"/>
          <w:u w:val="none"/>
          <w:lang w:val="en-US" w:eastAsia="zh-CN"/>
        </w:rPr>
      </w:pPr>
    </w:p>
    <w:p>
      <w:pPr>
        <w:jc w:val="both"/>
        <w:rPr>
          <w:rFonts w:hint="eastAsia" w:cs="Times New Roman"/>
          <w:b w:val="0"/>
          <w:bCs/>
          <w:szCs w:val="20"/>
          <w:u w:val="none"/>
          <w:lang w:val="en-US" w:eastAsia="zh-CN"/>
        </w:rPr>
      </w:pPr>
      <w:r>
        <w:rPr>
          <w:rFonts w:hint="eastAsia" w:cs="Times New Roman"/>
          <w:b/>
          <w:bCs w:val="0"/>
          <w:i/>
          <w:iCs/>
          <w:szCs w:val="20"/>
          <w:u w:val="none"/>
          <w:lang w:val="en-US" w:eastAsia="zh-CN"/>
        </w:rPr>
        <w:t xml:space="preserve">Observation 3. For track 2, we used a mixed dataset and our own dataset for training, and tested it with the mixed datset and our own dataset respectively. Firstly, we used the mixed dataset for training and the mixed dataset for testing. The results without quantization and with quantization are 0.61 and 0.59. We also used own dataset for training and tested it with the mixed dataset and our own dataset. The results without quantization and with quantization were 0.61, 0.63 and 0.58, 0.61 respectively. </w:t>
      </w:r>
    </w:p>
    <w:p>
      <w:pPr>
        <w:jc w:val="both"/>
        <w:rPr>
          <w:rFonts w:hint="default" w:cs="Times New Roman"/>
          <w:b w:val="0"/>
          <w:bCs/>
          <w:szCs w:val="20"/>
          <w:u w:val="none"/>
          <w:lang w:val="en-US" w:eastAsia="zh-CN"/>
        </w:rPr>
      </w:pPr>
      <w:r>
        <w:rPr>
          <w:rFonts w:hint="eastAsia"/>
          <w:b/>
          <w:bCs/>
          <w:i/>
          <w:iCs/>
          <w:szCs w:val="21"/>
          <w:lang w:val="en-US" w:eastAsia="zh-CN"/>
        </w:rPr>
        <w:t xml:space="preserve"> </w:t>
      </w:r>
    </w:p>
    <w:p>
      <w:pPr>
        <w:rPr>
          <w:rFonts w:hint="default" w:eastAsiaTheme="minorEastAsia"/>
          <w:b/>
          <w:sz w:val="21"/>
          <w:szCs w:val="21"/>
          <w:u w:val="single"/>
          <w:lang w:val="en-US" w:eastAsia="zh-CN"/>
        </w:rPr>
      </w:pPr>
      <w:r>
        <w:rPr>
          <w:rFonts w:hint="default" w:eastAsiaTheme="minorEastAsia"/>
          <w:b/>
          <w:sz w:val="21"/>
          <w:szCs w:val="21"/>
          <w:u w:val="single"/>
          <w:lang w:val="en-US" w:eastAsia="zh-CN"/>
        </w:rPr>
        <w:t xml:space="preserve">Option 4a(Dataset based) for 2-sided model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2"/>
                <w:numId w:val="8"/>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eastAsia"/>
                <w:sz w:val="21"/>
                <w:szCs w:val="21"/>
                <w:lang w:eastAsia="zh-CN"/>
              </w:rPr>
              <w:t>S</w:t>
            </w:r>
            <w:r>
              <w:rPr>
                <w:rFonts w:hint="default"/>
                <w:sz w:val="21"/>
                <w:szCs w:val="21"/>
                <w:lang w:eastAsia="zh-CN"/>
              </w:rPr>
              <w:t>tep 1-3: Reuse results of Option 3</w:t>
            </w:r>
          </w:p>
          <w:p>
            <w:pPr>
              <w:pStyle w:val="33"/>
              <w:keepNext w:val="0"/>
              <w:keepLines w:val="0"/>
              <w:widowControl/>
              <w:numPr>
                <w:ilvl w:val="2"/>
                <w:numId w:val="8"/>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sz w:val="21"/>
                <w:szCs w:val="21"/>
                <w:lang w:eastAsia="zh-CN"/>
              </w:rPr>
              <w:t>Step 4: Select one or more Eigenvalue dataset(s) for further analysis based option 3</w:t>
            </w:r>
          </w:p>
          <w:p>
            <w:pPr>
              <w:pStyle w:val="33"/>
              <w:keepNext w:val="0"/>
              <w:keepLines w:val="0"/>
              <w:widowControl/>
              <w:numPr>
                <w:ilvl w:val="3"/>
                <w:numId w:val="8"/>
              </w:numPr>
              <w:suppressLineNumbers w:val="0"/>
              <w:overflowPunct w:val="0"/>
              <w:autoSpaceDE w:val="0"/>
              <w:autoSpaceDN w:val="0"/>
              <w:adjustRightInd w:val="0"/>
              <w:spacing w:before="0" w:beforeAutospacing="0" w:after="120" w:afterAutospacing="0"/>
              <w:ind w:left="426" w:right="0" w:firstLine="141" w:firstLineChars="0"/>
              <w:textAlignment w:val="baseline"/>
              <w:rPr>
                <w:rFonts w:hint="default"/>
                <w:sz w:val="21"/>
                <w:szCs w:val="21"/>
                <w:lang w:eastAsia="zh-CN"/>
              </w:rPr>
            </w:pPr>
            <w:r>
              <w:rPr>
                <w:rFonts w:hint="default"/>
                <w:sz w:val="21"/>
                <w:szCs w:val="21"/>
                <w:lang w:eastAsia="zh-CN"/>
              </w:rPr>
              <w:t>Selection criteria: select the dataset(s) generated from the selected encoder and decoder pair(s) from Option 3 track 1</w:t>
            </w:r>
          </w:p>
          <w:p>
            <w:pPr>
              <w:pStyle w:val="33"/>
              <w:keepNext w:val="0"/>
              <w:keepLines w:val="0"/>
              <w:widowControl/>
              <w:numPr>
                <w:ilvl w:val="3"/>
                <w:numId w:val="8"/>
              </w:numPr>
              <w:suppressLineNumbers w:val="0"/>
              <w:overflowPunct w:val="0"/>
              <w:autoSpaceDE w:val="0"/>
              <w:autoSpaceDN w:val="0"/>
              <w:adjustRightInd w:val="0"/>
              <w:spacing w:before="0" w:beforeAutospacing="0" w:after="120" w:afterAutospacing="0"/>
              <w:ind w:left="426" w:right="0" w:firstLine="141" w:firstLineChars="0"/>
              <w:textAlignment w:val="baseline"/>
              <w:rPr>
                <w:rFonts w:hint="default"/>
                <w:sz w:val="21"/>
                <w:szCs w:val="21"/>
                <w:lang w:eastAsia="zh-CN"/>
              </w:rPr>
            </w:pPr>
            <w:r>
              <w:rPr>
                <w:rFonts w:hint="default"/>
                <w:sz w:val="21"/>
                <w:szCs w:val="21"/>
                <w:lang w:eastAsia="zh-CN"/>
              </w:rPr>
              <w:t>Or mixed dataset from track 2</w:t>
            </w:r>
          </w:p>
          <w:p>
            <w:pPr>
              <w:pStyle w:val="33"/>
              <w:keepNext w:val="0"/>
              <w:keepLines w:val="0"/>
              <w:widowControl/>
              <w:numPr>
                <w:ilvl w:val="3"/>
                <w:numId w:val="8"/>
              </w:numPr>
              <w:suppressLineNumbers w:val="0"/>
              <w:overflowPunct w:val="0"/>
              <w:autoSpaceDE w:val="0"/>
              <w:autoSpaceDN w:val="0"/>
              <w:adjustRightInd w:val="0"/>
              <w:spacing w:before="0" w:beforeAutospacing="0" w:after="120" w:afterAutospacing="0"/>
              <w:ind w:left="426" w:right="0" w:firstLine="141" w:firstLineChars="0"/>
              <w:textAlignment w:val="baseline"/>
              <w:rPr>
                <w:rFonts w:hint="default"/>
                <w:sz w:val="21"/>
                <w:szCs w:val="21"/>
                <w:lang w:eastAsia="zh-CN"/>
              </w:rPr>
            </w:pPr>
            <w:r>
              <w:rPr>
                <w:rFonts w:hint="default" w:eastAsia="宋体"/>
                <w:sz w:val="21"/>
                <w:szCs w:val="21"/>
                <w:lang w:eastAsia="zh-CN"/>
              </w:rPr>
              <w:t>I</w:t>
            </w:r>
            <w:r>
              <w:rPr>
                <w:rFonts w:hint="default" w:eastAsia="宋体"/>
                <w:color w:val="auto"/>
                <w:sz w:val="21"/>
                <w:szCs w:val="21"/>
                <w:lang w:eastAsia="zh-CN"/>
              </w:rPr>
              <w:t>f multiple datasets are selected (as was the case of Option 3 track 1), the subsequent steps of the feasibility procedure will be applied on each one of the selected datasets separately</w:t>
            </w:r>
          </w:p>
          <w:p>
            <w:pPr>
              <w:pStyle w:val="33"/>
              <w:keepNext w:val="0"/>
              <w:keepLines w:val="0"/>
              <w:widowControl/>
              <w:numPr>
                <w:ilvl w:val="2"/>
                <w:numId w:val="8"/>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sz w:val="21"/>
                <w:szCs w:val="21"/>
                <w:lang w:eastAsia="zh-CN"/>
              </w:rPr>
              <w:t>Step 5: Label selected dataset with encoder input/output using encoder corresponding to the selected test decoder from option 3.</w:t>
            </w:r>
          </w:p>
          <w:p>
            <w:pPr>
              <w:pStyle w:val="33"/>
              <w:keepNext w:val="0"/>
              <w:keepLines w:val="0"/>
              <w:widowControl/>
              <w:numPr>
                <w:ilvl w:val="2"/>
                <w:numId w:val="8"/>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i w:val="0"/>
                <w:iCs w:val="0"/>
                <w:sz w:val="21"/>
                <w:szCs w:val="21"/>
                <w:lang w:eastAsia="zh-CN"/>
              </w:rPr>
              <w:t>Step 6: Compan</w:t>
            </w:r>
            <w:r>
              <w:rPr>
                <w:rFonts w:hint="default" w:eastAsia="Yu Mincho"/>
                <w:i w:val="0"/>
                <w:iCs w:val="0"/>
                <w:sz w:val="21"/>
                <w:szCs w:val="21"/>
                <w:lang w:eastAsia="ja-JP"/>
              </w:rPr>
              <w:t>ies</w:t>
            </w:r>
            <w:r>
              <w:rPr>
                <w:rFonts w:hint="default"/>
                <w:i w:val="0"/>
                <w:iCs w:val="0"/>
                <w:sz w:val="21"/>
                <w:szCs w:val="21"/>
                <w:lang w:eastAsia="zh-CN"/>
              </w:rPr>
              <w:t xml:space="preserve"> bring results for training of “own encoder(s) and decoder(s)” with selected dataset(s)</w:t>
            </w:r>
          </w:p>
          <w:p>
            <w:pPr>
              <w:pStyle w:val="33"/>
              <w:keepNext w:val="0"/>
              <w:keepLines w:val="0"/>
              <w:widowControl/>
              <w:numPr>
                <w:ilvl w:val="2"/>
                <w:numId w:val="8"/>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i w:val="0"/>
                <w:iCs w:val="0"/>
                <w:sz w:val="21"/>
                <w:szCs w:val="21"/>
                <w:lang w:eastAsia="zh-CN"/>
              </w:rPr>
              <w:t>Performance alignment to be checked/discussed</w:t>
            </w:r>
          </w:p>
          <w:p>
            <w:pPr>
              <w:pStyle w:val="33"/>
              <w:keepNext w:val="0"/>
              <w:keepLines w:val="0"/>
              <w:widowControl/>
              <w:numPr>
                <w:ilvl w:val="2"/>
                <w:numId w:val="8"/>
              </w:numPr>
              <w:suppressLineNumbers w:val="0"/>
              <w:overflowPunct w:val="0"/>
              <w:autoSpaceDE w:val="0"/>
              <w:autoSpaceDN w:val="0"/>
              <w:adjustRightInd w:val="0"/>
              <w:spacing w:before="0" w:beforeAutospacing="0" w:after="120" w:afterAutospacing="0"/>
              <w:ind w:left="426" w:right="0" w:hanging="426" w:firstLineChars="0"/>
              <w:textAlignment w:val="baseline"/>
              <w:rPr>
                <w:rFonts w:hint="default"/>
                <w:sz w:val="21"/>
                <w:szCs w:val="21"/>
                <w:lang w:eastAsia="zh-CN"/>
              </w:rPr>
            </w:pPr>
            <w:r>
              <w:rPr>
                <w:rFonts w:hint="default"/>
                <w:i w:val="0"/>
                <w:iCs w:val="0"/>
                <w:sz w:val="21"/>
                <w:szCs w:val="21"/>
                <w:lang w:eastAsia="zh-CN"/>
              </w:rPr>
              <w:t>Step 7: Conclude on overall feasibility of Option 4a</w:t>
            </w:r>
          </w:p>
          <w:p>
            <w:pPr>
              <w:pStyle w:val="33"/>
              <w:keepNext w:val="0"/>
              <w:keepLines w:val="0"/>
              <w:widowControl/>
              <w:numPr>
                <w:ilvl w:val="3"/>
                <w:numId w:val="8"/>
              </w:numPr>
              <w:suppressLineNumbers w:val="0"/>
              <w:overflowPunct/>
              <w:autoSpaceDE/>
              <w:autoSpaceDN/>
              <w:adjustRightInd/>
              <w:spacing w:before="0" w:beforeAutospacing="0" w:after="120" w:afterAutospacing="0"/>
              <w:ind w:left="851" w:right="0" w:hanging="284" w:firstLineChars="0"/>
              <w:textAlignment w:val="auto"/>
              <w:rPr>
                <w:rFonts w:hint="default" w:eastAsia="Yu Mincho"/>
                <w:sz w:val="21"/>
                <w:szCs w:val="21"/>
                <w:lang w:eastAsia="ja-JP"/>
              </w:rPr>
            </w:pPr>
            <w:r>
              <w:rPr>
                <w:rFonts w:hint="default" w:eastAsia="Yu Mincho"/>
                <w:i w:val="0"/>
                <w:iCs w:val="0"/>
                <w:sz w:val="21"/>
                <w:szCs w:val="21"/>
                <w:lang w:eastAsia="ja-JP"/>
              </w:rPr>
              <w:t>feasibility criteria to be discussed (e.g. Perform testing of all the UE encoders using all test decoders (replicating the process of testing UE’s against RAN4 requirements with different TE vendor decoders, others given in R4-2415376, etc ).</w:t>
            </w:r>
          </w:p>
          <w:p>
            <w:pPr>
              <w:pStyle w:val="33"/>
              <w:keepNext w:val="0"/>
              <w:keepLines w:val="0"/>
              <w:widowControl/>
              <w:numPr>
                <w:ilvl w:val="3"/>
                <w:numId w:val="8"/>
              </w:numPr>
              <w:suppressLineNumbers w:val="0"/>
              <w:overflowPunct/>
              <w:autoSpaceDE/>
              <w:autoSpaceDN/>
              <w:adjustRightInd/>
              <w:spacing w:before="0" w:beforeAutospacing="0" w:after="120" w:afterAutospacing="0"/>
              <w:ind w:left="851" w:right="0" w:hanging="284" w:firstLineChars="0"/>
              <w:textAlignment w:val="auto"/>
              <w:rPr>
                <w:rFonts w:hint="default"/>
                <w:b/>
                <w:bCs/>
                <w:i/>
                <w:iCs/>
                <w:szCs w:val="21"/>
                <w:vertAlign w:val="baseline"/>
                <w:lang w:val="en-US" w:eastAsia="zh-CN"/>
              </w:rPr>
            </w:pPr>
            <w:r>
              <w:rPr>
                <w:rFonts w:hint="default"/>
                <w:sz w:val="21"/>
                <w:szCs w:val="21"/>
                <w:lang w:eastAsia="zh-CN"/>
              </w:rPr>
              <w:t>Dataset for feasibility evaluation to be discussed; may be common test dataset or own test dataset</w:t>
            </w:r>
          </w:p>
        </w:tc>
      </w:tr>
    </w:tbl>
    <w:p>
      <w:pPr>
        <w:rPr>
          <w:rFonts w:hint="default" w:cs="Times New Roman"/>
          <w:b w:val="0"/>
          <w:bCs/>
          <w:szCs w:val="20"/>
          <w:u w:val="none"/>
          <w:lang w:val="en-US" w:eastAsia="zh-CN"/>
        </w:rPr>
      </w:pPr>
      <w:r>
        <w:rPr>
          <w:b/>
          <w:u w:val="single"/>
          <w:lang w:eastAsia="ko-KR"/>
        </w:rPr>
        <w:t>Option 4</w:t>
      </w:r>
      <w:r>
        <w:rPr>
          <w:rFonts w:eastAsia="Yu Mincho"/>
          <w:b/>
          <w:u w:val="single"/>
          <w:lang w:eastAsia="ja-JP"/>
        </w:rPr>
        <w:t xml:space="preserve">b </w:t>
      </w:r>
      <w:r>
        <w:rPr>
          <w:rFonts w:hint="eastAsia" w:eastAsia="Yu Mincho"/>
          <w:b/>
          <w:u w:val="single"/>
          <w:lang w:eastAsia="ja-JP"/>
        </w:rPr>
        <w:t>(</w:t>
      </w:r>
      <w:r>
        <w:rPr>
          <w:rFonts w:eastAsia="Yu Mincho"/>
          <w:b/>
          <w:u w:val="single"/>
          <w:lang w:eastAsia="ja-JP"/>
        </w:rPr>
        <w:t>encoder</w:t>
      </w:r>
      <w:r>
        <w:rPr>
          <w:rFonts w:hint="eastAsia" w:eastAsia="Yu Mincho"/>
          <w:b/>
          <w:u w:val="single"/>
          <w:lang w:eastAsia="ja-JP"/>
        </w:rPr>
        <w:t xml:space="preserve"> based)</w:t>
      </w:r>
      <w:r>
        <w:rPr>
          <w:b/>
          <w:u w:val="single"/>
          <w:lang w:eastAsia="ko-KR"/>
        </w:rPr>
        <w:t xml:space="preserve"> for 2-sided model</w:t>
      </w:r>
      <w:r>
        <w:rPr>
          <w:rFonts w:hint="eastAsia" w:eastAsia="Yu Mincho"/>
          <w:b/>
          <w:u w:val="single"/>
          <w:lang w:eastAsia="ja-JP"/>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left="360" w:right="0" w:firstLineChars="0"/>
              <w:textAlignment w:val="baseline"/>
              <w:rPr>
                <w:rFonts w:hint="default"/>
                <w:sz w:val="21"/>
                <w:szCs w:val="21"/>
                <w:lang w:eastAsia="zh-CN"/>
              </w:rPr>
            </w:pPr>
            <w:r>
              <w:rPr>
                <w:rFonts w:hint="eastAsia"/>
                <w:sz w:val="21"/>
                <w:szCs w:val="21"/>
                <w:lang w:eastAsia="zh-CN"/>
              </w:rPr>
              <w:t>S</w:t>
            </w:r>
            <w:r>
              <w:rPr>
                <w:rFonts w:hint="default"/>
                <w:sz w:val="21"/>
                <w:szCs w:val="21"/>
                <w:lang w:eastAsia="zh-CN"/>
              </w:rPr>
              <w:t>tep 1-3: Reuse results of Option 3</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left="360" w:right="0" w:firstLineChars="0"/>
              <w:textAlignment w:val="baseline"/>
              <w:rPr>
                <w:rFonts w:hint="default"/>
                <w:sz w:val="21"/>
                <w:szCs w:val="21"/>
                <w:lang w:eastAsia="zh-CN"/>
              </w:rPr>
            </w:pPr>
            <w:r>
              <w:rPr>
                <w:rFonts w:hint="default"/>
                <w:sz w:val="21"/>
                <w:szCs w:val="21"/>
                <w:lang w:eastAsia="zh-CN"/>
              </w:rPr>
              <w:t>Step 4: Select one or more encoder(s) for further analysis based on option 3</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080" w:right="0" w:firstLineChars="0"/>
              <w:textAlignment w:val="baseline"/>
              <w:rPr>
                <w:rFonts w:hint="default"/>
                <w:sz w:val="21"/>
                <w:szCs w:val="21"/>
                <w:lang w:eastAsia="zh-CN"/>
              </w:rPr>
            </w:pPr>
            <w:r>
              <w:rPr>
                <w:rFonts w:hint="default"/>
                <w:sz w:val="21"/>
                <w:szCs w:val="21"/>
                <w:lang w:eastAsia="zh-CN"/>
              </w:rPr>
              <w:t>Selection criteria: select the encoder(s) from the selected encoder and decoder pair(s) of Option 3 track 1</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080" w:right="0" w:firstLineChars="0"/>
              <w:textAlignment w:val="baseline"/>
              <w:rPr>
                <w:rFonts w:hint="default"/>
                <w:sz w:val="21"/>
                <w:szCs w:val="21"/>
                <w:lang w:eastAsia="zh-CN"/>
              </w:rPr>
            </w:pPr>
            <w:r>
              <w:rPr>
                <w:rFonts w:hint="default"/>
                <w:sz w:val="21"/>
                <w:szCs w:val="21"/>
                <w:lang w:eastAsia="zh-CN"/>
              </w:rPr>
              <w:t>Or encoder(s) from the selected encoder and decoder pair(s) of Option 3 track 2</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left="360" w:right="0" w:firstLineChars="0"/>
              <w:textAlignment w:val="baseline"/>
              <w:rPr>
                <w:rFonts w:hint="default"/>
                <w:sz w:val="21"/>
                <w:szCs w:val="21"/>
                <w:lang w:eastAsia="zh-CN"/>
              </w:rPr>
            </w:pPr>
            <w:r>
              <w:rPr>
                <w:rFonts w:hint="default"/>
                <w:sz w:val="21"/>
                <w:szCs w:val="21"/>
                <w:lang w:eastAsia="zh-CN"/>
              </w:rPr>
              <w:t>Step 5: Company brings results for training of “own decoder(s)” with selected encoder(s)</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080" w:right="0" w:firstLineChars="0"/>
              <w:textAlignment w:val="baseline"/>
              <w:rPr>
                <w:rFonts w:hint="default"/>
                <w:sz w:val="21"/>
                <w:szCs w:val="21"/>
                <w:lang w:eastAsia="zh-CN"/>
              </w:rPr>
            </w:pPr>
            <w:r>
              <w:rPr>
                <w:rFonts w:hint="default"/>
                <w:sz w:val="21"/>
                <w:szCs w:val="21"/>
                <w:lang w:eastAsia="zh-CN"/>
              </w:rPr>
              <w:t>Performance alignment to be checked/discussed</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080" w:right="0" w:firstLineChars="0"/>
              <w:textAlignment w:val="baseline"/>
              <w:rPr>
                <w:rFonts w:hint="default"/>
                <w:sz w:val="21"/>
                <w:szCs w:val="21"/>
                <w:lang w:eastAsia="zh-CN"/>
              </w:rPr>
            </w:pPr>
            <w:r>
              <w:rPr>
                <w:rFonts w:hint="default"/>
                <w:sz w:val="21"/>
                <w:szCs w:val="21"/>
                <w:lang w:eastAsia="zh-CN"/>
              </w:rPr>
              <w:t>FFS what is the dataset assumed for the training</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left="360" w:right="0" w:firstLineChars="0"/>
              <w:textAlignment w:val="baseline"/>
              <w:rPr>
                <w:rFonts w:hint="default"/>
                <w:sz w:val="21"/>
                <w:szCs w:val="21"/>
                <w:lang w:eastAsia="zh-CN"/>
              </w:rPr>
            </w:pPr>
            <w:r>
              <w:rPr>
                <w:rFonts w:hint="default"/>
                <w:sz w:val="21"/>
                <w:szCs w:val="21"/>
                <w:lang w:eastAsia="zh-CN"/>
              </w:rPr>
              <w:t>Step 6: Company trains “own encoder(s)” with “own decoder(s)” from step 5</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656" w:right="0" w:hanging="360" w:firstLineChars="0"/>
              <w:textAlignment w:val="baseline"/>
              <w:rPr>
                <w:rFonts w:hint="default"/>
                <w:sz w:val="21"/>
                <w:szCs w:val="21"/>
                <w:lang w:eastAsia="zh-CN"/>
              </w:rPr>
            </w:pPr>
            <w:r>
              <w:rPr>
                <w:rFonts w:hint="default"/>
                <w:sz w:val="21"/>
                <w:szCs w:val="21"/>
                <w:lang w:eastAsia="zh-CN"/>
              </w:rPr>
              <w:t>FFS what is the dataset assumed for the training</w:t>
            </w:r>
          </w:p>
          <w:p>
            <w:pPr>
              <w:pStyle w:val="33"/>
              <w:keepNext w:val="0"/>
              <w:keepLines w:val="0"/>
              <w:widowControl/>
              <w:numPr>
                <w:ilvl w:val="0"/>
                <w:numId w:val="8"/>
              </w:numPr>
              <w:suppressLineNumbers w:val="0"/>
              <w:overflowPunct w:val="0"/>
              <w:autoSpaceDE w:val="0"/>
              <w:autoSpaceDN w:val="0"/>
              <w:adjustRightInd w:val="0"/>
              <w:spacing w:before="0" w:beforeAutospacing="0" w:after="120" w:afterAutospacing="0"/>
              <w:ind w:left="360" w:right="0" w:firstLineChars="0"/>
              <w:textAlignment w:val="baseline"/>
              <w:rPr>
                <w:rFonts w:hint="default"/>
                <w:sz w:val="21"/>
                <w:szCs w:val="21"/>
                <w:lang w:eastAsia="zh-CN"/>
              </w:rPr>
            </w:pPr>
            <w:r>
              <w:rPr>
                <w:rFonts w:hint="default"/>
                <w:sz w:val="21"/>
                <w:szCs w:val="21"/>
                <w:lang w:eastAsia="zh-CN"/>
              </w:rPr>
              <w:t>Step 7: Conclude on overall feasibility of Option 4b</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080" w:right="0" w:firstLineChars="0"/>
              <w:textAlignment w:val="baseline"/>
              <w:rPr>
                <w:rFonts w:hint="default"/>
                <w:sz w:val="21"/>
                <w:szCs w:val="21"/>
                <w:lang w:eastAsia="zh-CN"/>
              </w:rPr>
            </w:pPr>
            <w:r>
              <w:rPr>
                <w:rFonts w:hint="default"/>
                <w:sz w:val="21"/>
                <w:szCs w:val="21"/>
                <w:lang w:eastAsia="zh-CN"/>
              </w:rPr>
              <w:t>Feasibility criteria to be discussed (e.g. Perform testing of all the UE encoders using all test decoders (replicating the process of testing UE’s against RAN4 requirements with different TE vendor decoders, others given in R4-2415376, etc ).</w:t>
            </w:r>
          </w:p>
          <w:p>
            <w:pPr>
              <w:pStyle w:val="33"/>
              <w:keepNext w:val="0"/>
              <w:keepLines w:val="0"/>
              <w:widowControl/>
              <w:numPr>
                <w:ilvl w:val="1"/>
                <w:numId w:val="8"/>
              </w:numPr>
              <w:suppressLineNumbers w:val="0"/>
              <w:overflowPunct w:val="0"/>
              <w:autoSpaceDE w:val="0"/>
              <w:autoSpaceDN w:val="0"/>
              <w:adjustRightInd w:val="0"/>
              <w:spacing w:before="0" w:beforeAutospacing="0" w:after="120" w:afterAutospacing="0"/>
              <w:ind w:left="1080" w:right="0" w:firstLineChars="0"/>
              <w:textAlignment w:val="baseline"/>
              <w:rPr>
                <w:rFonts w:hint="default"/>
                <w:sz w:val="21"/>
                <w:szCs w:val="21"/>
                <w:lang w:eastAsia="zh-CN"/>
              </w:rPr>
            </w:pPr>
            <w:r>
              <w:rPr>
                <w:rFonts w:hint="default"/>
                <w:sz w:val="21"/>
                <w:szCs w:val="21"/>
                <w:lang w:eastAsia="zh-CN"/>
              </w:rPr>
              <w:t>Dataset for feasibility evaluation to be discussed; may be common test dataset or own test dataset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cs="Times New Roman"/>
                <w:b w:val="0"/>
                <w:bCs/>
                <w:szCs w:val="20"/>
                <w:u w:val="none"/>
                <w:vertAlign w:val="baseline"/>
                <w:lang w:val="en-US" w:eastAsia="zh-CN"/>
              </w:rPr>
            </w:pPr>
            <w:r>
              <w:rPr>
                <w:rFonts w:hint="default" w:eastAsia="Yu Mincho"/>
                <w:sz w:val="21"/>
                <w:szCs w:val="21"/>
                <w:lang w:eastAsia="ja-JP"/>
              </w:rPr>
              <w:t>Encoder in step 5 should at least have the agreed structure. Companies can also bring analysis/results with other encoders (using different structures)</w:t>
            </w:r>
          </w:p>
        </w:tc>
      </w:tr>
    </w:tbl>
    <w:p>
      <w:pPr>
        <w:rPr>
          <w:rFonts w:hint="eastAsia" w:cs="Times New Roman"/>
          <w:b w:val="0"/>
          <w:bCs/>
          <w:szCs w:val="20"/>
          <w:u w:val="none"/>
          <w:lang w:val="en-US" w:eastAsia="zh-CN"/>
        </w:rPr>
      </w:pPr>
      <w:r>
        <w:rPr>
          <w:rFonts w:hint="default" w:ascii="Times New Roman" w:hAnsi="Times New Roman" w:cs="Times New Roman"/>
          <w:b w:val="0"/>
          <w:bCs/>
          <w:szCs w:val="20"/>
          <w:u w:val="none"/>
          <w:lang w:val="en-US" w:eastAsia="zh-CN"/>
        </w:rPr>
        <w:t>At the previous meeting, RAN4 deliberated on potential candidate options for option 4, namely the means of achieving interoperability between DUT vendors and TE vendors.</w:t>
      </w:r>
      <w:r>
        <w:rPr>
          <w:rFonts w:hint="eastAsia" w:ascii="Times New Roman" w:hAnsi="Times New Roman" w:cs="Times New Roman"/>
          <w:b w:val="0"/>
          <w:bCs/>
          <w:szCs w:val="20"/>
          <w:u w:val="none"/>
          <w:lang w:val="en-US" w:eastAsia="zh-CN"/>
        </w:rPr>
        <w:t xml:space="preserve"> In T</w:t>
      </w:r>
      <w:r>
        <w:rPr>
          <w:rFonts w:hint="eastAsia" w:cs="Times New Roman"/>
          <w:b w:val="0"/>
          <w:bCs/>
          <w:szCs w:val="20"/>
          <w:u w:val="none"/>
          <w:lang w:val="en-US" w:eastAsia="zh-CN"/>
        </w:rPr>
        <w:t>R</w:t>
      </w:r>
      <w:r>
        <w:rPr>
          <w:rFonts w:hint="eastAsia" w:ascii="Times New Roman" w:hAnsi="Times New Roman" w:cs="Times New Roman"/>
          <w:b w:val="0"/>
          <w:bCs/>
          <w:szCs w:val="20"/>
          <w:u w:val="none"/>
          <w:lang w:val="en-US" w:eastAsia="zh-CN"/>
        </w:rPr>
        <w:t xml:space="preserve"> 38.843, </w:t>
      </w:r>
      <w:r>
        <w:rPr>
          <w:rFonts w:hint="eastAsia" w:cs="Times New Roman"/>
          <w:b w:val="0"/>
          <w:bCs/>
          <w:szCs w:val="20"/>
          <w:u w:val="none"/>
          <w:lang w:val="en-US" w:eastAsia="zh-CN"/>
        </w:rPr>
        <w:t>RAN4</w:t>
      </w:r>
      <w:r>
        <w:rPr>
          <w:rFonts w:hint="eastAsia" w:ascii="Times New Roman" w:hAnsi="Times New Roman" w:cs="Times New Roman"/>
          <w:b w:val="0"/>
          <w:bCs/>
          <w:szCs w:val="20"/>
          <w:u w:val="none"/>
          <w:lang w:val="en-US" w:eastAsia="zh-CN"/>
        </w:rPr>
        <w:t xml:space="preserve"> defined partial knowledge in RAN4 specification for </w:t>
      </w:r>
      <w:r>
        <w:rPr>
          <w:rFonts w:hint="eastAsia" w:cs="Times New Roman"/>
          <w:b w:val="0"/>
          <w:bCs/>
          <w:szCs w:val="20"/>
          <w:u w:val="none"/>
          <w:lang w:val="en-US" w:eastAsia="zh-CN"/>
        </w:rPr>
        <w:t xml:space="preserve">test </w:t>
      </w:r>
      <w:r>
        <w:rPr>
          <w:rFonts w:hint="eastAsia" w:ascii="Times New Roman" w:hAnsi="Times New Roman" w:cs="Times New Roman"/>
          <w:b w:val="0"/>
          <w:bCs/>
          <w:szCs w:val="20"/>
          <w:u w:val="none"/>
          <w:lang w:val="en-US" w:eastAsia="zh-CN"/>
        </w:rPr>
        <w:t xml:space="preserve">decoder to achieve interoperability. With regard to this partial knowledge of the </w:t>
      </w:r>
      <w:r>
        <w:rPr>
          <w:rFonts w:hint="eastAsia" w:cs="Times New Roman"/>
          <w:b w:val="0"/>
          <w:bCs/>
          <w:szCs w:val="20"/>
          <w:u w:val="none"/>
          <w:lang w:val="en-US" w:eastAsia="zh-CN"/>
        </w:rPr>
        <w:t xml:space="preserve">test </w:t>
      </w:r>
      <w:r>
        <w:rPr>
          <w:rFonts w:hint="eastAsia" w:ascii="Times New Roman" w:hAnsi="Times New Roman" w:cs="Times New Roman"/>
          <w:b w:val="0"/>
          <w:bCs/>
          <w:szCs w:val="20"/>
          <w:u w:val="none"/>
          <w:lang w:val="en-US" w:eastAsia="zh-CN"/>
        </w:rPr>
        <w:t>decoder, it can bring more flexible approach</w:t>
      </w:r>
      <w:r>
        <w:rPr>
          <w:rFonts w:hint="eastAsia" w:cs="Times New Roman"/>
          <w:b w:val="0"/>
          <w:bCs/>
          <w:szCs w:val="20"/>
          <w:u w:val="none"/>
          <w:lang w:val="en-US" w:eastAsia="zh-CN"/>
        </w:rPr>
        <w:t>es</w:t>
      </w:r>
      <w:r>
        <w:rPr>
          <w:rFonts w:hint="eastAsia" w:ascii="Times New Roman" w:hAnsi="Times New Roman" w:cs="Times New Roman"/>
          <w:b w:val="0"/>
          <w:bCs/>
          <w:szCs w:val="20"/>
          <w:u w:val="none"/>
          <w:lang w:val="en-US" w:eastAsia="zh-CN"/>
        </w:rPr>
        <w:t xml:space="preserve"> for TE vendors. </w:t>
      </w:r>
      <w:r>
        <w:rPr>
          <w:rFonts w:hint="eastAsia" w:cs="Times New Roman"/>
          <w:b w:val="0"/>
          <w:bCs/>
          <w:szCs w:val="20"/>
          <w:u w:val="none"/>
          <w:lang w:val="en-US" w:eastAsia="zh-CN"/>
        </w:rPr>
        <w:t xml:space="preserve">To ensure interoperability, RAN4 needs to define more knowledge between DUT and TE side. After numerous discussions at meetings, RAN4 agreed two potential approaches to study the feasibility of Option 4, dataset based and encoder based. In generally, to achieve the interoperability, decoder is designed by TE vendor, DUT vendor needs to ensure that the encoder can be paired with decoder. </w:t>
      </w:r>
    </w:p>
    <w:p>
      <w:pPr>
        <w:rPr>
          <w:rFonts w:hint="eastAsia" w:cs="Times New Roman"/>
          <w:b w:val="0"/>
          <w:bCs/>
          <w:szCs w:val="20"/>
          <w:u w:val="none"/>
          <w:lang w:val="en-US" w:eastAsia="zh-CN"/>
        </w:rPr>
      </w:pPr>
      <w:r>
        <w:rPr>
          <w:rFonts w:hint="eastAsia" w:cs="Times New Roman"/>
          <w:b w:val="0"/>
          <w:bCs/>
          <w:szCs w:val="20"/>
          <w:u w:val="none"/>
          <w:lang w:val="en-US" w:eastAsia="zh-CN"/>
        </w:rPr>
        <w:t>For the above steps, steps 1~3 need to reuse the results of Option3. The directly method that RAN4 can use the current mixed datset as label dataset for optopn4a and option4b. For option4a, as mentioned above, the next step is to bring results for training of own encoder and decoder with selected dataset, which is no difference with track 2 of option 3. In generally, option 4a is similar as option3, if RAN4 consider using the mixed dataset. The current results of option 3 can be verified the feasibility of option 4a.</w:t>
      </w:r>
    </w:p>
    <w:p>
      <w:pPr>
        <w:rPr>
          <w:rFonts w:hint="eastAsia" w:cs="Times New Roman"/>
          <w:b w:val="0"/>
          <w:bCs/>
          <w:szCs w:val="20"/>
          <w:u w:val="none"/>
          <w:lang w:val="en-US" w:eastAsia="zh-CN"/>
        </w:rPr>
      </w:pPr>
      <w:r>
        <w:rPr>
          <w:rFonts w:hint="eastAsia" w:cs="Times New Roman"/>
          <w:b w:val="0"/>
          <w:bCs/>
          <w:szCs w:val="20"/>
          <w:u w:val="none"/>
          <w:lang w:val="en-US" w:eastAsia="zh-CN"/>
        </w:rPr>
        <w:t xml:space="preserve">Regarding option4b, the difference is that RAN4 needs to select encoder and decoder pair at first. And then companies need to train their own decoders based on the selected encoder. Then all companies share their new decoders which can be represented a decoder from TE vendors. Finally, RAN4 can test encoders based on the new decoders. From the implementation perspective, DUT vendor can directly use reference encoder as their own implementation, or use reference encoder to develop their own new encoder. The first approach is simpler and more direct. Companies only need to follow the specification to update the model. Since the test decoder is also based on it training and use the same mixed dataset. Without any doubt, the feasibility of option 4b using the first approach can be verified. </w:t>
      </w:r>
    </w:p>
    <w:p>
      <w:pPr>
        <w:rPr>
          <w:rFonts w:hint="eastAsia" w:cs="Times New Roman"/>
          <w:b w:val="0"/>
          <w:bCs/>
          <w:szCs w:val="20"/>
          <w:u w:val="none"/>
          <w:lang w:val="en-US" w:eastAsia="zh-CN"/>
        </w:rPr>
      </w:pPr>
      <w:r>
        <w:rPr>
          <w:rFonts w:hint="eastAsia" w:cs="Times New Roman"/>
          <w:b w:val="0"/>
          <w:bCs/>
          <w:szCs w:val="20"/>
          <w:u w:val="none"/>
          <w:lang w:val="en-US" w:eastAsia="zh-CN"/>
        </w:rPr>
        <w:t>The second approach requires the development of a encoder for the DUT vendor. In general, the complexity of feasibility verification is higher than option 3 and option 4a. The key point of the challenge is that we give the encoder some flexibility, which is more in line with the implementation. Each company</w:t>
      </w:r>
      <w:r>
        <w:rPr>
          <w:rFonts w:hint="default" w:cs="Times New Roman"/>
          <w:b w:val="0"/>
          <w:bCs/>
          <w:szCs w:val="20"/>
          <w:u w:val="none"/>
          <w:lang w:val="en-US" w:eastAsia="zh-CN"/>
        </w:rPr>
        <w:t>’</w:t>
      </w:r>
      <w:r>
        <w:rPr>
          <w:rFonts w:hint="eastAsia" w:cs="Times New Roman"/>
          <w:b w:val="0"/>
          <w:bCs/>
          <w:szCs w:val="20"/>
          <w:u w:val="none"/>
          <w:lang w:val="en-US" w:eastAsia="zh-CN"/>
        </w:rPr>
        <w:t xml:space="preserve">s implementation is somewhat different. During the testing, the developed encoder could paired with the own decoder, which can be ensure the performance. However, from a testing perspective, the second approach allows the TE vendor to develop different decoders to map with the different encoders, which will increase more testing effort for TE vendor. Even from the perspective of testing purposes, the second method is the most reasonable.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4. Option 4b is more likely option 3 if RAN4 reuse the mixed dataset as label data.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5. Two different approaches are observed for option 4b, the firstly one is that DUT vendor directly uses reference model as implementation, and the second is that DUT vendor needs to develop new encoder based on the reference encoder.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Proposal 1. Propose to consider a mixed dataset during training for option 4b as starting point.</w:t>
      </w:r>
    </w:p>
    <w:p>
      <w:pPr>
        <w:numPr>
          <w:ilvl w:val="0"/>
          <w:numId w:val="0"/>
        </w:numPr>
        <w:ind w:right="210" w:rightChars="100"/>
        <w:outlineLvl w:val="9"/>
        <w:rPr>
          <w:rFonts w:hint="eastAsia" w:ascii="Times New Roman" w:hAnsi="Times New Roman" w:eastAsia="Yu Mincho" w:cs="Times New Roman"/>
          <w:b/>
          <w:kern w:val="2"/>
          <w:sz w:val="21"/>
          <w:u w:val="single"/>
          <w:lang w:val="en-US" w:eastAsia="ja-JP" w:bidi="ar-SA"/>
        </w:rPr>
      </w:pPr>
      <w:r>
        <w:rPr>
          <w:rFonts w:hint="eastAsia" w:ascii="Times New Roman" w:hAnsi="Times New Roman" w:eastAsia="Yu Mincho" w:cs="Times New Roman"/>
          <w:b/>
          <w:kern w:val="2"/>
          <w:sz w:val="21"/>
          <w:u w:val="single"/>
          <w:lang w:val="en-US" w:eastAsia="ja-JP" w:bidi="ar-SA"/>
        </w:rPr>
        <w:t>What would be standardized for option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rPr>
            </w:pPr>
            <w:r>
              <w:rPr>
                <w:rFonts w:hint="default"/>
                <w:sz w:val="21"/>
                <w:szCs w:val="21"/>
              </w:rPr>
              <w:t>By definition, a test decoder is standardized for option 3. The need to define a reference encoder was discussed and the following agreement reached</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u w:val="single"/>
              </w:rPr>
            </w:pPr>
            <w:r>
              <w:rPr>
                <w:rFonts w:hint="default"/>
                <w:sz w:val="21"/>
                <w:szCs w:val="21"/>
                <w:u w:val="single"/>
              </w:rPr>
              <w:t xml:space="preserve">Agreement: </w:t>
            </w:r>
          </w:p>
          <w:p>
            <w:pPr>
              <w:pStyle w:val="33"/>
              <w:keepNext w:val="0"/>
              <w:keepLines w:val="0"/>
              <w:widowControl/>
              <w:numPr>
                <w:ilvl w:val="0"/>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eastAsia" w:eastAsiaTheme="minorEastAsia"/>
                <w:sz w:val="21"/>
                <w:szCs w:val="21"/>
                <w:lang w:val="en-US" w:eastAsia="zh-CN"/>
              </w:rPr>
              <w:t>T</w:t>
            </w:r>
            <w:r>
              <w:rPr>
                <w:rFonts w:hint="default" w:eastAsiaTheme="minorEastAsia"/>
                <w:sz w:val="21"/>
                <w:szCs w:val="21"/>
                <w:lang w:val="en-US" w:eastAsia="zh-CN"/>
              </w:rPr>
              <w:t>o verify the performance of CSI compression test decoder for calibration of test equipment, agree to define the reference encoder including encoder structure and parameters in RAN4</w:t>
            </w:r>
          </w:p>
          <w:p>
            <w:pPr>
              <w:pStyle w:val="33"/>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eastAsia" w:eastAsiaTheme="minorEastAsia"/>
                <w:sz w:val="21"/>
                <w:szCs w:val="21"/>
                <w:lang w:val="en-US" w:eastAsia="zh-CN"/>
              </w:rPr>
              <w:t>F</w:t>
            </w:r>
            <w:r>
              <w:rPr>
                <w:rFonts w:hint="default" w:eastAsiaTheme="minorEastAsia"/>
                <w:sz w:val="21"/>
                <w:szCs w:val="21"/>
                <w:lang w:val="en-US" w:eastAsia="zh-CN"/>
              </w:rPr>
              <w:t>FS on whether to specify it in TS or TR, and capture the conclusion in the TR conclusion part</w:t>
            </w:r>
          </w:p>
          <w:p>
            <w:pPr>
              <w:pStyle w:val="33"/>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eastAsia" w:eastAsiaTheme="minorEastAsia"/>
                <w:sz w:val="21"/>
                <w:szCs w:val="21"/>
                <w:lang w:val="en-US" w:eastAsia="zh-CN"/>
              </w:rPr>
              <w:t>F</w:t>
            </w:r>
            <w:r>
              <w:rPr>
                <w:rFonts w:hint="default" w:eastAsiaTheme="minorEastAsia"/>
                <w:sz w:val="21"/>
                <w:szCs w:val="21"/>
                <w:lang w:val="en-US" w:eastAsia="zh-CN"/>
              </w:rPr>
              <w:t>FS on criterion for selection of reference encoder</w:t>
            </w:r>
          </w:p>
          <w:p>
            <w:pPr>
              <w:pStyle w:val="33"/>
              <w:keepNext w:val="0"/>
              <w:keepLines w:val="0"/>
              <w:widowControl/>
              <w:numPr>
                <w:ilvl w:val="1"/>
                <w:numId w:val="9"/>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rPr>
            </w:pPr>
            <w:r>
              <w:rPr>
                <w:rFonts w:hint="eastAsia" w:eastAsiaTheme="minorEastAsia"/>
                <w:sz w:val="21"/>
                <w:szCs w:val="21"/>
                <w:lang w:val="en-US" w:eastAsia="zh-CN"/>
              </w:rPr>
              <w:t>F</w:t>
            </w:r>
            <w:r>
              <w:rPr>
                <w:rFonts w:hint="default" w:eastAsiaTheme="minorEastAsia"/>
                <w:sz w:val="21"/>
                <w:szCs w:val="21"/>
                <w:lang w:val="en-US" w:eastAsia="zh-CN"/>
              </w:rPr>
              <w:t>FS on decision whether RAN4 or RAN5 will specify it</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u w:val="single"/>
                <w:lang w:val="en-US"/>
              </w:rPr>
            </w:pPr>
            <w:r>
              <w:rPr>
                <w:rFonts w:hint="default"/>
                <w:sz w:val="21"/>
                <w:szCs w:val="21"/>
                <w:u w:val="single"/>
                <w:lang w:val="en-US"/>
              </w:rPr>
              <w:t xml:space="preserve">Way forward: </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lang w:val="en-US"/>
              </w:rPr>
            </w:pPr>
            <w:r>
              <w:rPr>
                <w:rFonts w:hint="default"/>
                <w:sz w:val="21"/>
                <w:szCs w:val="21"/>
                <w:lang w:val="en-US"/>
              </w:rPr>
              <w:t>There was also a discussion on whether to capture a training dataset, but no agreements. Some open questions from the discussion (not agreements):</w:t>
            </w:r>
          </w:p>
          <w:p>
            <w:pPr>
              <w:pStyle w:val="33"/>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rPr>
            </w:pPr>
            <w:r>
              <w:rPr>
                <w:rFonts w:hint="default"/>
                <w:sz w:val="21"/>
                <w:szCs w:val="21"/>
                <w:lang w:val="en-US"/>
              </w:rPr>
              <w:t>Whether it is useful to capture a training dataset</w:t>
            </w:r>
          </w:p>
          <w:p>
            <w:pPr>
              <w:pStyle w:val="33"/>
              <w:keepNext w:val="0"/>
              <w:keepLines w:val="0"/>
              <w:widowControl/>
              <w:numPr>
                <w:ilvl w:val="0"/>
                <w:numId w:val="7"/>
              </w:numPr>
              <w:suppressLineNumbers w:val="0"/>
              <w:overflowPunct w:val="0"/>
              <w:autoSpaceDE w:val="0"/>
              <w:autoSpaceDN w:val="0"/>
              <w:adjustRightInd w:val="0"/>
              <w:spacing w:before="0" w:beforeAutospacing="0" w:after="180" w:afterAutospacing="0"/>
              <w:ind w:right="0" w:firstLineChars="0"/>
              <w:textAlignment w:val="baseline"/>
              <w:rPr>
                <w:rFonts w:hint="eastAsia" w:ascii="Times New Roman" w:hAnsi="Times New Roman" w:eastAsia="Yu Mincho" w:cs="Times New Roman"/>
                <w:b/>
                <w:kern w:val="2"/>
                <w:sz w:val="21"/>
                <w:u w:val="single"/>
                <w:vertAlign w:val="baseline"/>
                <w:lang w:val="en-US" w:eastAsia="ja-JP" w:bidi="ar-SA"/>
              </w:rPr>
            </w:pPr>
            <w:r>
              <w:rPr>
                <w:rFonts w:hint="default"/>
                <w:sz w:val="21"/>
                <w:szCs w:val="21"/>
                <w:lang w:val="en-US"/>
              </w:rPr>
              <w:t>Where and how the training dataset would be captured (TR, TS, some other public place…)</w:t>
            </w:r>
          </w:p>
        </w:tc>
      </w:tr>
    </w:tbl>
    <w:p>
      <w:pPr>
        <w:numPr>
          <w:ilvl w:val="0"/>
          <w:numId w:val="0"/>
        </w:numPr>
        <w:ind w:right="210" w:rightChars="100"/>
        <w:outlineLvl w:val="9"/>
        <w:rPr>
          <w:rFonts w:hint="eastAsia" w:eastAsia="宋体" w:cs="Times New Roman"/>
          <w:b w:val="0"/>
          <w:bCs/>
          <w:kern w:val="2"/>
          <w:sz w:val="21"/>
          <w:u w:val="none"/>
          <w:lang w:val="en-US" w:eastAsia="zh-CN" w:bidi="ar-SA"/>
        </w:rPr>
      </w:pPr>
      <w:r>
        <w:rPr>
          <w:rFonts w:hint="eastAsia" w:eastAsia="宋体" w:cs="Times New Roman"/>
          <w:b w:val="0"/>
          <w:bCs/>
          <w:kern w:val="2"/>
          <w:sz w:val="21"/>
          <w:u w:val="none"/>
          <w:lang w:val="en-US" w:eastAsia="zh-CN" w:bidi="ar-SA"/>
        </w:rPr>
        <w:t xml:space="preserve">Regarding two side model, RAN4 agreed to define a reference encoder in previous meeting, which including encoder structure and parameters. Two different approaches are verified in RAN4 perspective from performance perspective, e.g. track 1 (decoder based) and track 2 (dataset based), from current evaluation results, track 2 seems to be more line with the requirements of conformance testing, and its results are more likely to converge. Although RAN4 has not yet reached a final consensus. In the previous meeting, RAN4 agreed that the reference model could derive requirements. From this perspective, both option3 and option 4 require the definition of a reference model, because different models can produce significantly different results. </w:t>
      </w:r>
    </w:p>
    <w:p>
      <w:pPr>
        <w:numPr>
          <w:ilvl w:val="0"/>
          <w:numId w:val="0"/>
        </w:numPr>
        <w:ind w:right="210" w:rightChars="100"/>
        <w:outlineLvl w:val="9"/>
        <w:rPr>
          <w:rFonts w:hint="default" w:eastAsia="宋体" w:cs="Times New Roman"/>
          <w:b w:val="0"/>
          <w:bCs/>
          <w:kern w:val="2"/>
          <w:sz w:val="21"/>
          <w:u w:val="none"/>
          <w:lang w:val="en-US" w:eastAsia="zh-CN" w:bidi="ar-SA"/>
        </w:rPr>
      </w:pPr>
      <w:r>
        <w:rPr>
          <w:rFonts w:hint="eastAsia" w:eastAsia="宋体" w:cs="Times New Roman"/>
          <w:b w:val="0"/>
          <w:bCs/>
          <w:kern w:val="2"/>
          <w:sz w:val="21"/>
          <w:u w:val="none"/>
          <w:lang w:val="en-US" w:eastAsia="zh-CN" w:bidi="ar-SA"/>
        </w:rPr>
        <w:t>At present, RAN4 agreed to define the reference encoder including encoder structure and parameters in RAN4 for option 3. The remaining issues are mainly whether to specify it in TS or TR, how to select the reference encoder. From our understanding, since CSI compression is currently in the study item, we think it is better to capture these conclusion in the TR. In the future, if the CSI compression is work item, maybe RAN4 needs to capture encoder structure and parameters in the specifications. Regarding how to select the reference model, RAN4 has not actually discussed it carefully from implementation perspective. In the previous meeting, in order to verify the feasibility of option 3 and option 4, RNA4 simply randomly selected CNN structure from CNN, transformer and MLP for simulation and analysis. However, since requirements and product implementation are closely related, we believe that the selection criteria needs to be based on practical perspective, such as complexity and performance. In addition, RAN is currently studying the structure and parameters of some reference models, like transformer. Once RAN1 achieves a conclusion, RAN4 can follow RAN1</w:t>
      </w:r>
      <w:r>
        <w:rPr>
          <w:rFonts w:hint="default" w:eastAsia="宋体" w:cs="Times New Roman"/>
          <w:b w:val="0"/>
          <w:bCs/>
          <w:kern w:val="2"/>
          <w:sz w:val="21"/>
          <w:u w:val="none"/>
          <w:lang w:val="en-US" w:eastAsia="zh-CN" w:bidi="ar-SA"/>
        </w:rPr>
        <w:t>’</w:t>
      </w:r>
      <w:r>
        <w:rPr>
          <w:rFonts w:hint="eastAsia" w:eastAsia="宋体" w:cs="Times New Roman"/>
          <w:b w:val="0"/>
          <w:bCs/>
          <w:kern w:val="2"/>
          <w:sz w:val="21"/>
          <w:u w:val="none"/>
          <w:lang w:val="en-US" w:eastAsia="zh-CN" w:bidi="ar-SA"/>
        </w:rPr>
        <w:t>s conclusion. How to specify the reference model in RAN4 or RAN5, we think this issue is about requirements definition in the work item. As we all know, test process definition in RAN5, and the requirements is defined in RAN4. Since requirements definition are based on simulation assumptions, and difference reference models may have significantly performance differences. Therefore, we would like to specify it on RAN4 specification.</w:t>
      </w:r>
    </w:p>
    <w:p>
      <w:pPr>
        <w:numPr>
          <w:ilvl w:val="0"/>
          <w:numId w:val="0"/>
        </w:numPr>
        <w:ind w:right="210" w:rightChars="100"/>
        <w:outlineLvl w:val="9"/>
        <w:rPr>
          <w:rFonts w:hint="default" w:eastAsia="宋体" w:cs="Times New Roman"/>
          <w:b w:val="0"/>
          <w:bCs/>
          <w:kern w:val="2"/>
          <w:sz w:val="21"/>
          <w:u w:val="none"/>
          <w:lang w:val="en-US" w:eastAsia="zh-CN" w:bidi="ar-SA"/>
        </w:rPr>
      </w:pP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Observation 6. Since CSI compression is currently in the study item, we think it is better to capture these conclusion in the TR.</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 xml:space="preserve">Observation 7. The selection criteria needs to be based on practical perspective, such as complexity and performance. </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Proposal 2. Propose to capture the conclusion and reference model structure and parameters in TR.</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Proposal 3. Propose to follow RAN1</w:t>
      </w:r>
      <w:r>
        <w:rPr>
          <w:rFonts w:hint="default" w:cs="Times New Roman"/>
          <w:b/>
          <w:bCs w:val="0"/>
          <w:i/>
          <w:iCs/>
          <w:szCs w:val="20"/>
          <w:u w:val="none"/>
          <w:lang w:val="en-US" w:eastAsia="zh-CN"/>
        </w:rPr>
        <w:t>’</w:t>
      </w:r>
      <w:r>
        <w:rPr>
          <w:rFonts w:hint="eastAsia" w:cs="Times New Roman"/>
          <w:b/>
          <w:bCs w:val="0"/>
          <w:i/>
          <w:iCs/>
          <w:szCs w:val="20"/>
          <w:u w:val="none"/>
          <w:lang w:val="en-US" w:eastAsia="zh-CN"/>
        </w:rPr>
        <w:t>s conclusion on defining reference model structure and parameters.</w:t>
      </w:r>
    </w:p>
    <w:p>
      <w:pPr>
        <w:jc w:val="both"/>
        <w:rPr>
          <w:rFonts w:hint="default" w:eastAsia="宋体" w:cs="Times New Roman"/>
          <w:b w:val="0"/>
          <w:bCs/>
          <w:kern w:val="2"/>
          <w:sz w:val="21"/>
          <w:u w:val="none"/>
          <w:lang w:val="en-US" w:eastAsia="zh-CN" w:bidi="ar-SA"/>
        </w:rPr>
      </w:pPr>
      <w:r>
        <w:rPr>
          <w:rFonts w:hint="eastAsia" w:cs="Times New Roman"/>
          <w:b/>
          <w:bCs w:val="0"/>
          <w:i/>
          <w:iCs/>
          <w:szCs w:val="20"/>
          <w:u w:val="none"/>
          <w:lang w:val="en-US" w:eastAsia="zh-CN"/>
        </w:rPr>
        <w:t>Proposal 4. Propose to specify reference model on RAN4 specification.</w:t>
      </w:r>
    </w:p>
    <w:p>
      <w:pPr>
        <w:rPr>
          <w:rFonts w:hint="eastAsia" w:cs="Times New Roman"/>
          <w:b w:val="0"/>
          <w:bCs/>
          <w:szCs w:val="20"/>
          <w:u w:val="none"/>
          <w:lang w:val="en-US" w:eastAsia="zh-CN"/>
        </w:rPr>
      </w:pP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widowControl w:val="0"/>
        <w:spacing w:beforeLines="100" w:afterLines="0" w:line="240" w:lineRule="auto"/>
        <w:jc w:val="left"/>
        <w:rPr>
          <w:rFonts w:hint="default"/>
          <w:b/>
          <w:bCs/>
          <w:i/>
          <w:iCs/>
          <w:szCs w:val="21"/>
          <w:lang w:val="en-US" w:eastAsia="zh-CN"/>
        </w:rPr>
      </w:pPr>
      <w:r>
        <w:rPr>
          <w:rFonts w:hint="eastAsia" w:cs="Times New Roman"/>
          <w:b/>
          <w:bCs w:val="0"/>
          <w:i/>
          <w:iCs/>
          <w:szCs w:val="20"/>
          <w:u w:val="none"/>
          <w:lang w:val="en-US" w:eastAsia="zh-CN"/>
        </w:rPr>
        <w:t>Observation 1. We used a decoder from a company and train the encoder with our own dataset, the results without quantization and with quantization is about 0.72 and 0.66.</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2. From our simulation results, we use mixed dataset and five companies datasets to do test, the results of unquantization is about 0.71, and quantization is about 0.65 for mixed dataset. </w:t>
      </w:r>
    </w:p>
    <w:p>
      <w:pPr>
        <w:jc w:val="both"/>
        <w:rPr>
          <w:rFonts w:hint="eastAsia" w:cs="Times New Roman"/>
          <w:b w:val="0"/>
          <w:bCs/>
          <w:szCs w:val="20"/>
          <w:u w:val="none"/>
          <w:lang w:val="en-US" w:eastAsia="zh-CN"/>
        </w:rPr>
      </w:pPr>
      <w:r>
        <w:rPr>
          <w:rFonts w:hint="eastAsia" w:cs="Times New Roman"/>
          <w:b/>
          <w:bCs w:val="0"/>
          <w:i/>
          <w:iCs/>
          <w:szCs w:val="20"/>
          <w:u w:val="none"/>
          <w:lang w:val="en-US" w:eastAsia="zh-CN"/>
        </w:rPr>
        <w:t xml:space="preserve">Observation 3. For track 2, we used a mixed dataset and our own dataset for training, and tested it with the mixed datset and our own dataset respectively. Firstly, we used the mixed dataset for training and the mixed dataset for testing. The results without quantization and with quantization are 0.61 and 0.59. We also used own dataset for training and tested it with the mixed dataset and our own dataset. The results without quantization and with quantization were 0.61, 0.63 and 0.58, 0.61 respectively.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4. Option 4b is more likely option 3 if RAN4 reuse the mixed dataset as label data.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 xml:space="preserve">Observation 5. Two different approaches are observed for option 4b, the firstly one is that DUT vendor directly uses reference model as implementation, and the second is that DUT vendor needs to develop new encoder based on the reference encoder.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Observation 6. Since CSI compression is currently in the study item, we think it is better to capture these conclusion in the TR.</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 xml:space="preserve">Observation 7. The selection criteria needs to be based on practical perspective, such as complexity and performance. </w:t>
      </w:r>
    </w:p>
    <w:p>
      <w:pPr>
        <w:jc w:val="both"/>
        <w:rPr>
          <w:rFonts w:hint="default" w:cs="Times New Roman"/>
          <w:b/>
          <w:bCs w:val="0"/>
          <w:i/>
          <w:iCs/>
          <w:szCs w:val="20"/>
          <w:u w:val="none"/>
          <w:lang w:val="en-US" w:eastAsia="zh-CN"/>
        </w:rPr>
      </w:pPr>
      <w:r>
        <w:rPr>
          <w:rFonts w:hint="eastAsia" w:cs="Times New Roman"/>
          <w:b/>
          <w:bCs w:val="0"/>
          <w:i/>
          <w:iCs/>
          <w:szCs w:val="20"/>
          <w:u w:val="none"/>
          <w:lang w:val="en-US" w:eastAsia="zh-CN"/>
        </w:rPr>
        <w:t>Proposal 1. Propose to consider a mixed dataset during training for option 4b as starting point.</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Proposal 2. Propose to capture the conclusion and reference model structure and parameters in TR.</w:t>
      </w:r>
    </w:p>
    <w:p>
      <w:pPr>
        <w:jc w:val="both"/>
        <w:rPr>
          <w:rFonts w:hint="eastAsia" w:cs="Times New Roman"/>
          <w:b/>
          <w:bCs w:val="0"/>
          <w:i/>
          <w:iCs/>
          <w:szCs w:val="20"/>
          <w:u w:val="none"/>
          <w:lang w:val="en-US" w:eastAsia="zh-CN"/>
        </w:rPr>
      </w:pPr>
      <w:r>
        <w:rPr>
          <w:rFonts w:hint="eastAsia" w:cs="Times New Roman"/>
          <w:b/>
          <w:bCs w:val="0"/>
          <w:i/>
          <w:iCs/>
          <w:szCs w:val="20"/>
          <w:u w:val="none"/>
          <w:lang w:val="en-US" w:eastAsia="zh-CN"/>
        </w:rPr>
        <w:t>Proposal 3. Propose to follow RAN1</w:t>
      </w:r>
      <w:r>
        <w:rPr>
          <w:rFonts w:hint="default" w:cs="Times New Roman"/>
          <w:b/>
          <w:bCs w:val="0"/>
          <w:i/>
          <w:iCs/>
          <w:szCs w:val="20"/>
          <w:u w:val="none"/>
          <w:lang w:val="en-US" w:eastAsia="zh-CN"/>
        </w:rPr>
        <w:t>’</w:t>
      </w:r>
      <w:r>
        <w:rPr>
          <w:rFonts w:hint="eastAsia" w:cs="Times New Roman"/>
          <w:b/>
          <w:bCs w:val="0"/>
          <w:i/>
          <w:iCs/>
          <w:szCs w:val="20"/>
          <w:u w:val="none"/>
          <w:lang w:val="en-US" w:eastAsia="zh-CN"/>
        </w:rPr>
        <w:t>s conclusion on defining reference model structure and parameters.</w:t>
      </w:r>
    </w:p>
    <w:p>
      <w:pPr>
        <w:jc w:val="both"/>
        <w:rPr>
          <w:rFonts w:hint="default"/>
          <w:b/>
          <w:bCs/>
          <w:i/>
          <w:iCs/>
          <w:szCs w:val="21"/>
          <w:lang w:val="en-US" w:eastAsia="zh-CN"/>
        </w:rPr>
      </w:pPr>
      <w:r>
        <w:rPr>
          <w:rFonts w:hint="eastAsia" w:cs="Times New Roman"/>
          <w:b/>
          <w:bCs w:val="0"/>
          <w:i/>
          <w:iCs/>
          <w:szCs w:val="20"/>
          <w:u w:val="none"/>
          <w:lang w:val="en-US" w:eastAsia="zh-CN"/>
        </w:rPr>
        <w:t>Proposal 4. Propose to specify reference model on RAN4 specification.</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R4-2503953, WF on AI/ML air interface study, Ericsson.</w:t>
      </w:r>
    </w:p>
    <w:p>
      <w:pPr>
        <w:pStyle w:val="33"/>
        <w:numPr>
          <w:ilvl w:val="0"/>
          <w:numId w:val="10"/>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3GPP TS38.101-4.</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11"/>
        </w:numPr>
        <w:pBdr>
          <w:top w:val="single" w:color="auto" w:sz="12" w:space="3"/>
        </w:pBdr>
        <w:spacing w:beforeLines="0" w:afterLines="0"/>
        <w:jc w:val="left"/>
        <w:outlineLvl w:val="9"/>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yellow"/>
                <w:lang w:eastAsia="zh-CN"/>
              </w:rPr>
            </w:pPr>
            <w:r>
              <w:rPr>
                <w:rFonts w:hint="default"/>
                <w:szCs w:val="20"/>
                <w:highlight w:val="yellow"/>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yellow"/>
                <w:lang w:eastAsia="zh-CN"/>
              </w:rPr>
            </w:pPr>
            <w:r>
              <w:rPr>
                <w:rFonts w:hint="default"/>
                <w:szCs w:val="20"/>
                <w:highlight w:val="yellow"/>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yellow"/>
                <w:lang w:eastAsia="en-US"/>
              </w:rPr>
            </w:pPr>
            <w:r>
              <w:rPr>
                <w:rFonts w:hint="eastAsia"/>
                <w:szCs w:val="20"/>
                <w:highlight w:val="none"/>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11"/>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AI model structure</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2215" cy="3716020"/>
            <wp:effectExtent l="0" t="0" r="1206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765842" cy="3729056"/>
                    </a:xfrm>
                    <a:prstGeom prst="rect">
                      <a:avLst/>
                    </a:prstGeom>
                    <a:noFill/>
                  </pic:spPr>
                </pic:pic>
              </a:graphicData>
            </a:graphic>
          </wp:inline>
        </w:drawing>
      </w:r>
    </w:p>
    <w:p>
      <w:pPr>
        <w:pStyle w:val="33"/>
        <w:numPr>
          <w:ilvl w:val="0"/>
          <w:numId w:val="11"/>
        </w:numPr>
        <w:spacing w:afterLines="0" w:line="259" w:lineRule="auto"/>
        <w:ind w:left="0" w:leftChars="0" w:right="-22" w:rightChars="0" w:firstLine="0" w:firstLineChars="0"/>
        <w:jc w:val="left"/>
        <w:rPr>
          <w:rFonts w:hint="default" w:ascii="Times New Roman" w:hAnsi="Times New Roman" w:eastAsia="宋体" w:cs="Times New Roman"/>
          <w:b/>
          <w:kern w:val="0"/>
          <w:sz w:val="24"/>
          <w:szCs w:val="24"/>
          <w:lang w:val="en-US" w:eastAsia="zh-CN" w:bidi="ar-SA"/>
        </w:rPr>
      </w:pPr>
      <w:r>
        <w:rPr>
          <w:rFonts w:hint="eastAsia" w:eastAsia="宋体" w:cs="Times New Roman"/>
          <w:b/>
          <w:kern w:val="0"/>
          <w:sz w:val="24"/>
          <w:szCs w:val="24"/>
          <w:lang w:val="en-US" w:eastAsia="zh-CN" w:bidi="ar-SA"/>
        </w:rPr>
        <w:t>Parameters</w:t>
      </w:r>
    </w:p>
    <w:p>
      <w:pPr>
        <w:pStyle w:val="33"/>
        <w:numPr>
          <w:ilvl w:val="0"/>
          <w:numId w:val="0"/>
        </w:numPr>
        <w:spacing w:afterLines="0" w:line="259" w:lineRule="auto"/>
        <w:ind w:leftChars="0" w:right="-22" w:rightChars="0"/>
        <w:jc w:val="left"/>
        <w:rPr>
          <w:rFonts w:hint="eastAsia" w:eastAsia="宋体" w:cs="Times New Roman"/>
          <w:b/>
          <w:kern w:val="0"/>
          <w:sz w:val="24"/>
          <w:szCs w:val="24"/>
          <w:lang w:val="en-US" w:eastAsia="zh-CN" w:bidi="ar-SA"/>
        </w:rPr>
      </w:pPr>
    </w:p>
    <w:tbl>
      <w:tblPr>
        <w:tblStyle w:val="23"/>
        <w:tblW w:w="10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4"/>
        <w:gridCol w:w="3737"/>
        <w:gridCol w:w="4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Parameter/Configurations</w:t>
            </w:r>
          </w:p>
        </w:tc>
        <w:tc>
          <w:tcPr>
            <w:tcW w:w="374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Options/Values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Company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Channel/data-set 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UE antenna element assumptions</w:t>
            </w:r>
          </w:p>
        </w:tc>
        <w:tc>
          <w:tcPr>
            <w:tcW w:w="3741" w:type="dxa"/>
          </w:tcPr>
          <w:p>
            <w:pPr>
              <w:pStyle w:val="33"/>
              <w:keepNext w:val="0"/>
              <w:keepLines w:val="0"/>
              <w:widowControl/>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1: Omni-directional antenna elements (Ericsson)</w:t>
            </w:r>
          </w:p>
          <w:p>
            <w:pPr>
              <w:pStyle w:val="33"/>
              <w:keepNext w:val="0"/>
              <w:keepLines w:val="0"/>
              <w:widowControl/>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2: Directional antenna elements</w:t>
            </w:r>
          </w:p>
          <w:p>
            <w:pPr>
              <w:pStyle w:val="33"/>
              <w:keepNext w:val="0"/>
              <w:keepLines w:val="0"/>
              <w:widowControl/>
              <w:numPr>
                <w:ilvl w:val="0"/>
                <w:numId w:val="12"/>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Option 3: Other</w:t>
            </w:r>
          </w:p>
        </w:tc>
        <w:tc>
          <w:tcPr>
            <w:tcW w:w="4327"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[Apple] We provided 2 simulation results:</w:t>
            </w:r>
            <w:r>
              <w:rPr>
                <w:rFonts w:hint="default"/>
                <w:szCs w:val="20"/>
              </w:rPr>
              <w:br w:type="textWrapping"/>
            </w:r>
            <w:r>
              <w:rPr>
                <w:rFonts w:hint="default"/>
                <w:szCs w:val="20"/>
              </w:rPr>
              <w:t xml:space="preserve">Directional (both horizontal/vertical) </w:t>
            </w:r>
            <w:r>
              <w:rPr>
                <w:rFonts w:hint="default"/>
                <w:szCs w:val="20"/>
              </w:rPr>
              <w:br w:type="textWrapping"/>
            </w:r>
            <w:r>
              <w:rPr>
                <w:rFonts w:hint="default"/>
                <w:szCs w:val="20"/>
              </w:rPr>
              <w:t>Omni (both horizontal/vertical)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[QC] Option 1 (both horizontal and vertical)</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[Intel] Option 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t>[</w:t>
            </w:r>
            <w:r>
              <w:rPr>
                <w:rFonts w:hint="eastAsia"/>
                <w:szCs w:val="20"/>
              </w:rPr>
              <w:t>OPPO</w:t>
            </w:r>
            <w:r>
              <w:rPr>
                <w:rFonts w:hint="default"/>
                <w:szCs w:val="20"/>
              </w:rPr>
              <w:t>]:Option1</w:t>
            </w: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eastAsia"/>
                <w:szCs w:val="20"/>
              </w:rPr>
              <w:t>[CMCC]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textAlignment w:val="baseline"/>
              <w:rPr>
                <w:rFonts w:hint="default"/>
                <w:color w:val="92D050"/>
              </w:rPr>
            </w:pPr>
            <w:r>
              <w:rPr>
                <w:rFonts w:hint="default"/>
              </w:rPr>
              <w:t>Ideal omni-directional antenna elements following RAN1 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Sub-band channel averaging</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QC, Apple, vivo, Ericsson,OPPO] Average of covariance channel matrix per RBs in the sub-band before SVD</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Per sub-band</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 xml:space="preserve">[CMCC]: Average of raw channel matrix </w:t>
            </w:r>
            <w:r>
              <w:rPr>
                <w:rFonts w:hint="default"/>
              </w:rPr>
              <w:t>per RBs in the sub-band</w:t>
            </w:r>
            <w:r>
              <w:rPr>
                <w:rFonts w:hint="eastAsia"/>
              </w:rPr>
              <w:t xml:space="preserve"> before SVD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Prefer not to do the averaging before SVD.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Average of covariance channel matrices per PRBs in the sub-band</w:t>
            </w:r>
          </w:p>
          <w:p>
            <w:pPr>
              <w:pStyle w:val="33"/>
              <w:keepNext w:val="0"/>
              <w:keepLines w:val="0"/>
              <w:widowControl/>
              <w:numPr>
                <w:ilvl w:val="1"/>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 sample per PRB is selected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7"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Any other pre-processing</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To be listed if used</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Ericsson] 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[OPPO] Normalize the phase of all entries of the eigenvector based on the phase of the last entry of the eigenvector</w:t>
            </w:r>
          </w:p>
          <w:p>
            <w:pPr>
              <w:pStyle w:val="33"/>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rPr>
            </w:pP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Normalize the phase of all entries of the eigenvector based on the phase of that entry that has the maximum amplitude averaged over the sub-bands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[Intel] prefer no other pre-processing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Apply phase normalization:</w:t>
            </w:r>
          </w:p>
          <w:p>
            <w:pPr>
              <w:pStyle w:val="33"/>
              <w:keepNext w:val="0"/>
              <w:keepLines w:val="0"/>
              <w:widowControl/>
              <w:numPr>
                <w:ilvl w:val="1"/>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Normalize the phase of all entries of the eigenvector based on the phase of the 1</w:t>
            </w:r>
            <w:r>
              <w:rPr>
                <w:rFonts w:hint="default"/>
                <w:vertAlign w:val="superscript"/>
              </w:rPr>
              <w:t>st</w:t>
            </w:r>
            <w:r>
              <w:rPr>
                <w:rFonts w:hint="default"/>
              </w:rPr>
              <w:t xml:space="preserve"> entry of the eigenvector</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i.e. the phase of the first value of the eigenvector is 0.</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L2 norm of the eigenvector is equal to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9"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 collection assumptions</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w:t>
            </w:r>
            <w:r>
              <w:rPr>
                <w:rFonts w:hint="eastAsia"/>
              </w:rPr>
              <w:t>, CATT, ZTE</w:t>
            </w:r>
            <w:r>
              <w:rPr>
                <w:rFonts w:hint="default"/>
              </w:rPr>
              <w:t>, Ericsson</w:t>
            </w:r>
            <w:r>
              <w:rPr>
                <w:rFonts w:hint="eastAsia"/>
              </w:rPr>
              <w:t>, CMCC</w:t>
            </w:r>
            <w:r>
              <w:rPr>
                <w:rFonts w:hint="default"/>
              </w:rPr>
              <w:t>] Each channel realization is collected from independent UE drop</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Multiple channel realization can be collected from the same UE</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Other</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Multiple channels realizations are collected from multiple UEs and multiple drops of same UE</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Intel, OPPO]:  Multiple drops. Each drop collect data from multiple UEs. Additionally collect samples from channel realization from each UE spaced at de-correlated interval.</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Strive to ensure that the samples are decorrelated, especially when collected from the same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dataset size</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630K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450K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25K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614,440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[MTK]: 700K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800K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200K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[CATT]: 102,600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 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243000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w:t>
            </w:r>
            <w:r>
              <w:rPr>
                <w:rFonts w:hint="default"/>
              </w:rPr>
              <w:t>OPPO</w:t>
            </w:r>
            <w:r>
              <w:rPr>
                <w:rFonts w:hint="eastAsia"/>
              </w:rPr>
              <w:t>]：600k</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[CMCC]: 100K</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Aim to use the dataset around 600K.</w:t>
            </w:r>
          </w:p>
          <w:p>
            <w:pPr>
              <w:pStyle w:val="33"/>
              <w:keepNext w:val="0"/>
              <w:keepLines w:val="0"/>
              <w:widowControl/>
              <w:numPr>
                <w:ilvl w:val="0"/>
                <w:numId w:val="13"/>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At least 100K sample to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Dataset quantization</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Float32</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Other data-set characteristics/statistics</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propose</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16"/>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some statistics about the dataset.</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Statistics are FFS</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are encouraged to report the CDF of the SGCS across sub-bands and input samples.</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If possible, also report CDF for eTypeII.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trPr>
        <w:tc>
          <w:tcPr>
            <w:tcW w:w="10639" w:type="dxa"/>
            <w:gridSpan w:val="3"/>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b/>
                <w:bCs/>
                <w:szCs w:val="20"/>
              </w:rPr>
            </w:pPr>
            <w:r>
              <w:rPr>
                <w:rFonts w:hint="default"/>
                <w:b/>
                <w:bCs/>
                <w:szCs w:val="20"/>
              </w:rPr>
              <w:t>Model-related</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Quantization of encoder output</w:t>
            </w:r>
          </w:p>
        </w:tc>
        <w:tc>
          <w:tcPr>
            <w:tcW w:w="3741" w:type="dxa"/>
          </w:tcPr>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Non-trainable quantization (bypassed during training)</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w:t>
            </w:r>
            <w:r>
              <w:rPr>
                <w:rFonts w:hint="eastAsia"/>
              </w:rPr>
              <w:t>, CMCC</w:t>
            </w:r>
            <w:r>
              <w:rPr>
                <w:rFonts w:hint="default"/>
              </w:rPr>
              <w:t>] Quantization aware training</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Quantization in forward and approximation in backward to enable learning. (avoid zero gradient of round function)</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VQ with quantization aware training</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[Intel] Quantization aware training. Scalar quantization with non-trainable quantization grid.</w:t>
            </w:r>
          </w:p>
          <w:p>
            <w:pPr>
              <w:pStyle w:val="33"/>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2 bit scalar quantization, quantizer aware training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eastAsia"/>
                <w:szCs w:val="20"/>
              </w:rPr>
              <w:t xml:space="preserve">CATT: Consider to align the activation </w:t>
            </w:r>
            <w:r>
              <w:rPr>
                <w:rFonts w:hint="default"/>
                <w:szCs w:val="20"/>
              </w:rPr>
              <w:t>function</w:t>
            </w:r>
            <w:r>
              <w:rPr>
                <w:rFonts w:hint="eastAsia"/>
                <w:szCs w:val="20"/>
              </w:rPr>
              <w:t xml:space="preserve"> and quantization method. </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Report results without quantization of the FC layer outputs for validation purposes only, i.e., float32 is sent in CSI report</w:t>
            </w:r>
          </w:p>
          <w:p>
            <w:pPr>
              <w:pStyle w:val="33"/>
              <w:keepNext w:val="0"/>
              <w:keepLines w:val="0"/>
              <w:widowControl/>
              <w:numPr>
                <w:ilvl w:val="0"/>
                <w:numId w:val="18"/>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still need to report quantization results:</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to report whether/how quantization aware training is implemented (e.g., how quantization is treated at back propagation)</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Companies can try quantization aware training with bypassing of the quantization in back propagation</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Quantization options, companies to provide the details:</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Fixed unform quantization with equal ranges</w:t>
            </w:r>
          </w:p>
          <w:p>
            <w:pPr>
              <w:pStyle w:val="33"/>
              <w:keepNext w:val="0"/>
              <w:keepLines w:val="0"/>
              <w:widowControl/>
              <w:numPr>
                <w:ilvl w:val="2"/>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Trainable quantization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Normalization before quantization in the encoder</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Ericsson]: Normalization with tanh function after FC layer</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 ZTE</w:t>
            </w:r>
            <w:r>
              <w:rPr>
                <w:rFonts w:hint="default"/>
                <w:szCs w:val="20"/>
              </w:rPr>
              <w:t>, vivo</w:t>
            </w:r>
            <w:r>
              <w:rPr>
                <w:rFonts w:hint="eastAsia"/>
                <w:szCs w:val="20"/>
              </w:rPr>
              <w:t>, CMCC]: Sigmoid function used after FC layer</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 Normalization not done due to the use of quantization aware training</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[Apple]: Normalization with tanh function after FC layer. We don’t apply inverse of that in de-quantization</w:t>
            </w:r>
          </w:p>
          <w:p>
            <w:pPr>
              <w:keepNext w:val="0"/>
              <w:keepLines w:val="0"/>
              <w:widowControl/>
              <w:numPr>
                <w:ilvl w:val="0"/>
                <w:numId w:val="17"/>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Sigmoid after FC layer. Inverse sigmoid after de-quantization stage in decoder.</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For the results with quantization, to use a sigmoid function in the encoder for normalization</w:t>
            </w:r>
          </w:p>
          <w:p>
            <w:pPr>
              <w:pStyle w:val="33"/>
              <w:keepNext w:val="0"/>
              <w:keepLines w:val="0"/>
              <w:widowControl/>
              <w:numPr>
                <w:ilvl w:val="1"/>
                <w:numId w:val="15"/>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Sigmoid in the decoder is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Use and configuration of drop-out</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Use of on single drop-out layer after FC layer in the encoder and decoder, Drop-out rate = 0.4.</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[CATT</w:t>
            </w:r>
            <w:r>
              <w:rPr>
                <w:rFonts w:hint="default"/>
                <w:szCs w:val="20"/>
              </w:rPr>
              <w:t>, QC</w:t>
            </w:r>
            <w:r>
              <w:rPr>
                <w:rFonts w:hint="eastAsia"/>
                <w:szCs w:val="20"/>
              </w:rPr>
              <w:t>, ZTE</w:t>
            </w:r>
            <w:r>
              <w:rPr>
                <w:rFonts w:hint="default"/>
                <w:szCs w:val="20"/>
              </w:rPr>
              <w:t>, Apple, vivo, Intel, Ericsson</w:t>
            </w:r>
            <w:r>
              <w:rPr>
                <w:rFonts w:hint="eastAsia"/>
                <w:szCs w:val="20"/>
              </w:rPr>
              <w:t>, CMCC]: No drop-out used.</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Not to use drop-out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Training loss function, use of regularization</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 SGCS with L2 regularization with weight decay, </w:t>
            </w:r>
            <w:r>
              <w:rPr>
                <w:rStyle w:val="78"/>
                <w:rFonts w:hint="default"/>
              </w:rPr>
              <w:t xml:space="preserve">λ = </w:t>
            </w:r>
            <w:r>
              <w:rPr>
                <w:rFonts w:hint="default"/>
              </w:rPr>
              <w:t>10</w:t>
            </w:r>
            <w:r>
              <w:rPr>
                <w:rFonts w:hint="default"/>
                <w:vertAlign w:val="superscript"/>
              </w:rPr>
              <w:t>-2</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SGCS + additional terms for quantization aware training</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 CMCC</w:t>
            </w:r>
            <w:r>
              <w:rPr>
                <w:rFonts w:hint="default"/>
              </w:rPr>
              <w:t>]: 1- SGCS</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MTK, Intel]: SGCS</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[Ericsson]: NMSE</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 MSE</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xml:space="preserve">[vivo]: </w:t>
            </w:r>
            <w:r>
              <w:rPr>
                <w:rFonts w:hint="eastAsia"/>
                <w:szCs w:val="20"/>
              </w:rPr>
              <w:t>1</w:t>
            </w:r>
            <w:r>
              <w:rPr>
                <w:rFonts w:hint="default"/>
                <w:szCs w:val="20"/>
              </w:rPr>
              <w:t>-SGCS plus VQ loss for encoder output (MSE between original and quantized encoder output)</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[Intel]: SGCS, no L1/L2 regularization</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(1-SGCS) as loss function as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Optimizer</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[Samsung, QCM, Apple, MTK, Intel</w:t>
            </w:r>
            <w:r>
              <w:rPr>
                <w:rFonts w:hint="eastAsia"/>
              </w:rPr>
              <w:t>, CATT</w:t>
            </w:r>
            <w:r>
              <w:rPr>
                <w:rFonts w:hint="default"/>
              </w:rPr>
              <w:t>, Ericsson</w:t>
            </w:r>
            <w:r>
              <w:rPr>
                <w:rFonts w:hint="eastAsia"/>
              </w:rPr>
              <w:t>, CMCC</w:t>
            </w:r>
            <w:r>
              <w:rPr>
                <w:rFonts w:hint="default"/>
              </w:rPr>
              <w:t>]: Adam</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[Nokia]: RMSProp (Root Mean Square Propagation)</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[ZTE</w:t>
            </w:r>
            <w:r>
              <w:rPr>
                <w:rFonts w:hint="default"/>
                <w:szCs w:val="20"/>
              </w:rPr>
              <w:t>, vivo</w:t>
            </w:r>
            <w:r>
              <w:rPr>
                <w:rFonts w:hint="eastAsia"/>
                <w:szCs w:val="20"/>
              </w:rPr>
              <w:t xml:space="preserve">]: </w:t>
            </w:r>
            <w:r>
              <w:rPr>
                <w:rFonts w:hint="default"/>
                <w:szCs w:val="20"/>
              </w:rPr>
              <w:t>Adam</w:t>
            </w:r>
            <w:r>
              <w:rPr>
                <w:rFonts w:hint="eastAsia"/>
                <w:szCs w:val="20"/>
              </w:rPr>
              <w:t>W</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Use Adam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Learning rate</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[Nokia]: </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R&amp;S</w:t>
            </w:r>
            <w:r>
              <w:rPr>
                <w:rFonts w:hint="eastAsia"/>
              </w:rPr>
              <w:t>, CATT</w:t>
            </w:r>
            <w:r>
              <w:rPr>
                <w:rFonts w:hint="default"/>
              </w:rPr>
              <w:t>, Ericsson]: 10^-4</w:t>
            </w:r>
          </w:p>
          <w:p>
            <w:pPr>
              <w:pStyle w:val="33"/>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Learning rate adaptation: Reduce on plateau by factor 0.5 with patience of 50 epochs.</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[Apple]: </w:t>
            </w:r>
            <w:r>
              <w:rPr>
                <w:rFonts w:hint="default" w:eastAsia="Yu Mincho"/>
                <w:lang w:eastAsia="ja-JP"/>
              </w:rPr>
              <w:t>0.0025</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Intel, MTK</w:t>
            </w:r>
            <w:r>
              <w:rPr>
                <w:rFonts w:hint="eastAsia" w:eastAsia="宋体"/>
              </w:rPr>
              <w:t>, CMCC</w:t>
            </w:r>
            <w:r>
              <w:rPr>
                <w:rFonts w:hint="default" w:eastAsia="Yu Mincho"/>
                <w:lang w:eastAsia="ja-JP"/>
              </w:rPr>
              <w:t>]: 0.001</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eastAsia"/>
              </w:rPr>
              <w:t>[ZTE]:1.5e-3</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[vivo]: Warm-up to initial lr 1e-3 and then linearly decay to final lr 8e-4, update after each batch</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 xml:space="preserve">Fixed learning rate of 10^-4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Batch size</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[Nokia]:1024</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MTK</w:t>
            </w:r>
            <w:r>
              <w:rPr>
                <w:rFonts w:hint="eastAsia"/>
              </w:rPr>
              <w:t>, CMCC</w:t>
            </w:r>
            <w:r>
              <w:rPr>
                <w:rFonts w:hint="default"/>
              </w:rPr>
              <w:t>]: 128</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256</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[Samsung]: 200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eastAsia="Yu Mincho"/>
                <w:lang w:eastAsia="ja-JP"/>
              </w:rPr>
              <w:t>[R&amp;S</w:t>
            </w:r>
            <w:r>
              <w:rPr>
                <w:rFonts w:hint="eastAsia"/>
              </w:rPr>
              <w:t>, CATT</w:t>
            </w:r>
            <w:r>
              <w:rPr>
                <w:rFonts w:hint="default"/>
              </w:rPr>
              <w:t>, vivo, Ericsson</w:t>
            </w:r>
            <w:r>
              <w:rPr>
                <w:rFonts w:hint="default" w:eastAsia="Yu Mincho"/>
                <w:lang w:eastAsia="ja-JP"/>
              </w:rPr>
              <w:t>]: 512</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[Ericsson]: 32</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eastAsia="Yu Mincho"/>
                <w:szCs w:val="20"/>
                <w:lang w:eastAsia="ja-JP"/>
              </w:rPr>
              <w:t>[Intel]: 10</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eastAsia="宋体"/>
                <w:szCs w:val="20"/>
              </w:rPr>
              <w:t>[ZTE]:400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(Max) Number of epochs</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[QC]: 150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 vivo, Intel]: 100</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[R&amp;S, Nokia</w:t>
            </w:r>
            <w:r>
              <w:rPr>
                <w:rFonts w:hint="eastAsia"/>
              </w:rPr>
              <w:t>, CATT</w:t>
            </w:r>
            <w:r>
              <w:rPr>
                <w:rFonts w:hint="default"/>
              </w:rPr>
              <w:t>]: 200</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[MTK</w:t>
            </w:r>
            <w:r>
              <w:rPr>
                <w:rFonts w:hint="eastAsia"/>
                <w:szCs w:val="20"/>
              </w:rPr>
              <w:t>, ZTE</w:t>
            </w:r>
            <w:r>
              <w:rPr>
                <w:rFonts w:hint="default"/>
                <w:szCs w:val="20"/>
              </w:rPr>
              <w:t>]: 300</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eastAsia"/>
                <w:szCs w:val="20"/>
              </w:rPr>
              <w:t>[CMCC]: 500</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150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Stopping criteria</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[Nokia, Apple</w:t>
            </w:r>
            <w:r>
              <w:rPr>
                <w:rFonts w:hint="eastAsia"/>
              </w:rPr>
              <w:t>, CATT</w:t>
            </w:r>
            <w:r>
              <w:rPr>
                <w:rFonts w:hint="default"/>
              </w:rPr>
              <w:t>, QC</w:t>
            </w:r>
            <w:r>
              <w:rPr>
                <w:rFonts w:hint="eastAsia"/>
              </w:rPr>
              <w:t>, ZTE</w:t>
            </w:r>
            <w:r>
              <w:rPr>
                <w:rFonts w:hint="default"/>
              </w:rPr>
              <w:t>, Intel</w:t>
            </w:r>
            <w:r>
              <w:rPr>
                <w:rFonts w:hint="eastAsia"/>
              </w:rPr>
              <w:t>, CMCC</w:t>
            </w:r>
            <w:r>
              <w:rPr>
                <w:rFonts w:hint="default"/>
              </w:rPr>
              <w:t>]: No change in metric over a given number of epochs</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Validation patience: [Intel, Nokia] 10, [QC] 50</w:t>
            </w:r>
          </w:p>
          <w:p>
            <w:pPr>
              <w:keepNext w:val="0"/>
              <w:keepLines w:val="0"/>
              <w:widowControl/>
              <w:numPr>
                <w:ilvl w:val="1"/>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 Ericsson with constraint on max Epochs</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[vivo] Stop when reaching the configured number of epochs</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No improvement over 25 epochs.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Weight initialization</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[Apple</w:t>
            </w:r>
            <w:r>
              <w:rPr>
                <w:rFonts w:hint="eastAsia"/>
              </w:rPr>
              <w:t>, CATT</w:t>
            </w:r>
            <w:r>
              <w:rPr>
                <w:rFonts w:hint="default"/>
              </w:rPr>
              <w:t>, QC, vivo, Intel</w:t>
            </w:r>
            <w:r>
              <w:rPr>
                <w:rFonts w:hint="eastAsia"/>
              </w:rPr>
              <w:t>, CMCC</w:t>
            </w:r>
            <w:r>
              <w:rPr>
                <w:rFonts w:hint="default"/>
              </w:rPr>
              <w:t>]: Default</w:t>
            </w:r>
          </w:p>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Ericsson: Variance scaling</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8"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2571" w:type="dxa"/>
            <w:vMerge w:val="restart"/>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Kernel Parameters:</w:t>
            </w:r>
          </w:p>
          <w:p>
            <w:pPr>
              <w:pStyle w:val="33"/>
              <w:keepNext w:val="0"/>
              <w:keepLines w:val="0"/>
              <w:widowControl/>
              <w:numPr>
                <w:ilvl w:val="0"/>
                <w:numId w:val="14"/>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Dilation</w:t>
            </w:r>
          </w:p>
          <w:p>
            <w:pPr>
              <w:pStyle w:val="33"/>
              <w:keepNext w:val="0"/>
              <w:keepLines w:val="0"/>
              <w:widowControl/>
              <w:numPr>
                <w:ilvl w:val="0"/>
                <w:numId w:val="14"/>
              </w:numPr>
              <w:suppressLineNumbers w:val="0"/>
              <w:overflowPunct w:val="0"/>
              <w:autoSpaceDE w:val="0"/>
              <w:autoSpaceDN w:val="0"/>
              <w:adjustRightInd w:val="0"/>
              <w:spacing w:before="0" w:beforeAutospacing="0" w:after="180" w:afterAutospacing="0"/>
              <w:ind w:right="0"/>
              <w:textAlignment w:val="baseline"/>
              <w:rPr>
                <w:rFonts w:hint="default"/>
              </w:rPr>
            </w:pPr>
            <w:r>
              <w:rPr>
                <w:rFonts w:hint="default"/>
              </w:rPr>
              <w:t>Padding Type</w:t>
            </w:r>
          </w:p>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r>
              <w:rPr>
                <w:rFonts w:hint="default"/>
                <w:szCs w:val="20"/>
              </w:rPr>
              <w:t>The value of groups (VG)</w:t>
            </w:r>
          </w:p>
        </w:tc>
        <w:tc>
          <w:tcPr>
            <w:tcW w:w="3741" w:type="dxa"/>
          </w:tcPr>
          <w:p>
            <w:pPr>
              <w:pStyle w:val="33"/>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[CMCC, Samsung, Vivo</w:t>
            </w:r>
            <w:r>
              <w:rPr>
                <w:rFonts w:hint="eastAsia"/>
              </w:rPr>
              <w:t>, CATT</w:t>
            </w:r>
            <w:r>
              <w:rPr>
                <w:rFonts w:hint="default"/>
              </w:rPr>
              <w:t>]: Dilation:1, Padding type=0, VG= 1</w:t>
            </w:r>
          </w:p>
          <w:p>
            <w:pPr>
              <w:keepNext w:val="0"/>
              <w:keepLines w:val="0"/>
              <w:widowControl/>
              <w:numPr>
                <w:ilvl w:val="0"/>
                <w:numId w:val="14"/>
              </w:numPr>
              <w:suppressLineNumbers w:val="0"/>
              <w:overflowPunct w:val="0"/>
              <w:autoSpaceDE w:val="0"/>
              <w:autoSpaceDN w:val="0"/>
              <w:adjustRightInd w:val="0"/>
              <w:spacing w:before="0" w:beforeAutospacing="0" w:after="0" w:afterAutospacing="0" w:line="240" w:lineRule="auto"/>
              <w:ind w:right="0"/>
              <w:textAlignment w:val="baseline"/>
              <w:rPr>
                <w:rFonts w:hint="default"/>
                <w:szCs w:val="20"/>
              </w:rPr>
            </w:pPr>
            <w:r>
              <w:rPr>
                <w:rFonts w:hint="default"/>
                <w:szCs w:val="20"/>
              </w:rPr>
              <w:t>[QC</w:t>
            </w:r>
            <w:r>
              <w:rPr>
                <w:rFonts w:hint="eastAsia"/>
                <w:szCs w:val="20"/>
              </w:rPr>
              <w:t>, ZTE</w:t>
            </w:r>
            <w:r>
              <w:rPr>
                <w:rFonts w:hint="default"/>
                <w:szCs w:val="20"/>
              </w:rPr>
              <w:t>, Apple, Intel]: Default</w:t>
            </w:r>
          </w:p>
        </w:tc>
        <w:tc>
          <w:tcPr>
            <w:tcW w:w="4327" w:type="dxa"/>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571" w:type="dxa"/>
            <w:vMerge w:val="continue"/>
          </w:tcPr>
          <w:p>
            <w:pPr>
              <w:keepNext w:val="0"/>
              <w:keepLines w:val="0"/>
              <w:widowControl/>
              <w:suppressLineNumbers w:val="0"/>
              <w:overflowPunct w:val="0"/>
              <w:autoSpaceDE w:val="0"/>
              <w:autoSpaceDN w:val="0"/>
              <w:adjustRightInd w:val="0"/>
              <w:spacing w:before="0" w:beforeAutospacing="0" w:after="0" w:afterAutospacing="0" w:line="240" w:lineRule="auto"/>
              <w:ind w:left="0" w:right="0"/>
              <w:textAlignment w:val="baseline"/>
              <w:rPr>
                <w:rFonts w:hint="default"/>
                <w:szCs w:val="20"/>
              </w:rPr>
            </w:pPr>
          </w:p>
        </w:tc>
        <w:tc>
          <w:tcPr>
            <w:tcW w:w="8068" w:type="dxa"/>
            <w:gridSpan w:val="2"/>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Cs w:val="20"/>
              </w:rPr>
            </w:pPr>
            <w:r>
              <w:rPr>
                <w:rFonts w:hint="default"/>
                <w:b/>
                <w:bCs/>
                <w:szCs w:val="20"/>
              </w:rPr>
              <w:t>Configuration for alignment:</w:t>
            </w:r>
          </w:p>
          <w:p>
            <w:pPr>
              <w:pStyle w:val="33"/>
              <w:keepNext w:val="0"/>
              <w:keepLines w:val="0"/>
              <w:widowControl/>
              <w:numPr>
                <w:ilvl w:val="0"/>
                <w:numId w:val="19"/>
              </w:numPr>
              <w:suppressLineNumbers w:val="0"/>
              <w:overflowPunct w:val="0"/>
              <w:autoSpaceDE w:val="0"/>
              <w:autoSpaceDN w:val="0"/>
              <w:adjustRightInd w:val="0"/>
              <w:spacing w:before="0" w:beforeAutospacing="0" w:after="0" w:afterAutospacing="0" w:line="240" w:lineRule="auto"/>
              <w:ind w:right="0"/>
              <w:textAlignment w:val="baseline"/>
              <w:rPr>
                <w:rFonts w:hint="default"/>
              </w:rPr>
            </w:pPr>
            <w:r>
              <w:rPr>
                <w:rFonts w:hint="default"/>
              </w:rPr>
              <w:t>Default</w:t>
            </w:r>
          </w:p>
        </w:tc>
      </w:tr>
    </w:tbl>
    <w:p/>
    <w:p>
      <w:pPr>
        <w:pStyle w:val="33"/>
        <w:numPr>
          <w:ilvl w:val="0"/>
          <w:numId w:val="0"/>
        </w:numPr>
        <w:spacing w:afterLines="0" w:line="259" w:lineRule="auto"/>
        <w:ind w:leftChars="0" w:right="-22" w:rightChars="0"/>
        <w:jc w:val="left"/>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0987530"/>
    <w:multiLevelType w:val="multilevel"/>
    <w:tmpl w:val="009875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B3C697"/>
    <w:multiLevelType w:val="singleLevel"/>
    <w:tmpl w:val="0BB3C697"/>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DCE53C4"/>
    <w:multiLevelType w:val="multilevel"/>
    <w:tmpl w:val="0DCE5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BE699D"/>
    <w:multiLevelType w:val="multilevel"/>
    <w:tmpl w:val="27BE699D"/>
    <w:lvl w:ilvl="0" w:tentative="0">
      <w:start w:val="105"/>
      <w:numFmt w:val="bullet"/>
      <w:lvlText w:val="-"/>
      <w:lvlJc w:val="left"/>
      <w:pPr>
        <w:ind w:left="720" w:hanging="360"/>
      </w:pPr>
      <w:rPr>
        <w:rFonts w:hint="default" w:ascii="Aptos" w:hAnsi="Aptos" w:eastAsiaTheme="minorEastAsia"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49C794D"/>
    <w:multiLevelType w:val="multilevel"/>
    <w:tmpl w:val="349C794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7AD2B11"/>
    <w:multiLevelType w:val="multilevel"/>
    <w:tmpl w:val="37AD2B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1">
    <w:nsid w:val="473E4CA6"/>
    <w:multiLevelType w:val="multilevel"/>
    <w:tmpl w:val="473E4C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3">
    <w:nsid w:val="58B73482"/>
    <w:multiLevelType w:val="multilevel"/>
    <w:tmpl w:val="58B73482"/>
    <w:lvl w:ilvl="0" w:tentative="0">
      <w:start w:val="1"/>
      <w:numFmt w:val="bullet"/>
      <w:lvlText w:val=""/>
      <w:lvlJc w:val="left"/>
      <w:pPr>
        <w:ind w:left="576" w:hanging="360"/>
      </w:pPr>
      <w:rPr>
        <w:rFonts w:hint="default" w:ascii="Wingdings" w:hAnsi="Wingdings"/>
      </w:rPr>
    </w:lvl>
    <w:lvl w:ilvl="1" w:tentative="0">
      <w:start w:val="1"/>
      <w:numFmt w:val="bullet"/>
      <w:lvlText w:val=""/>
      <w:lvlJc w:val="left"/>
      <w:pPr>
        <w:ind w:left="1296" w:hanging="360"/>
      </w:pPr>
      <w:rPr>
        <w:rFonts w:hint="default" w:ascii="Wingdings" w:hAnsi="Wingdings"/>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Wingdings" w:hAnsi="Wingdings"/>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14">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6">
    <w:nsid w:val="6AD404FD"/>
    <w:multiLevelType w:val="multilevel"/>
    <w:tmpl w:val="6AD404F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A56900"/>
    <w:multiLevelType w:val="multilevel"/>
    <w:tmpl w:val="72A569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7F3B48CA"/>
    <w:multiLevelType w:val="multilevel"/>
    <w:tmpl w:val="7F3B48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5"/>
  </w:num>
  <w:num w:numId="3">
    <w:abstractNumId w:val="7"/>
  </w:num>
  <w:num w:numId="4">
    <w:abstractNumId w:val="10"/>
  </w:num>
  <w:num w:numId="5">
    <w:abstractNumId w:val="1"/>
  </w:num>
  <w:num w:numId="6">
    <w:abstractNumId w:val="0"/>
  </w:num>
  <w:num w:numId="7">
    <w:abstractNumId w:val="12"/>
  </w:num>
  <w:num w:numId="8">
    <w:abstractNumId w:val="13"/>
  </w:num>
  <w:num w:numId="9">
    <w:abstractNumId w:val="17"/>
  </w:num>
  <w:num w:numId="10">
    <w:abstractNumId w:val="14"/>
  </w:num>
  <w:num w:numId="11">
    <w:abstractNumId w:val="3"/>
  </w:num>
  <w:num w:numId="12">
    <w:abstractNumId w:val="2"/>
  </w:num>
  <w:num w:numId="13">
    <w:abstractNumId w:val="16"/>
  </w:num>
  <w:num w:numId="14">
    <w:abstractNumId w:val="11"/>
  </w:num>
  <w:num w:numId="15">
    <w:abstractNumId w:val="6"/>
  </w:num>
  <w:num w:numId="16">
    <w:abstractNumId w:val="9"/>
  </w:num>
  <w:num w:numId="17">
    <w:abstractNumId w:val="5"/>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25154"/>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17E6"/>
    <w:rsid w:val="00DD2C4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0796"/>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D05DDF"/>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874C4"/>
    <w:rsid w:val="03CF4ADB"/>
    <w:rsid w:val="03CF67FA"/>
    <w:rsid w:val="03E358F3"/>
    <w:rsid w:val="03E84DE8"/>
    <w:rsid w:val="03F6348B"/>
    <w:rsid w:val="04030035"/>
    <w:rsid w:val="04251A4C"/>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AF7979"/>
    <w:rsid w:val="04B14B03"/>
    <w:rsid w:val="04B27FD0"/>
    <w:rsid w:val="04BA53C1"/>
    <w:rsid w:val="04BE6B38"/>
    <w:rsid w:val="04C74F7C"/>
    <w:rsid w:val="04DA1A87"/>
    <w:rsid w:val="04DE2DA3"/>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460B91"/>
    <w:rsid w:val="0652447E"/>
    <w:rsid w:val="0654187C"/>
    <w:rsid w:val="06541C3C"/>
    <w:rsid w:val="065475DE"/>
    <w:rsid w:val="0677709C"/>
    <w:rsid w:val="067C28D6"/>
    <w:rsid w:val="068967F5"/>
    <w:rsid w:val="068B36F9"/>
    <w:rsid w:val="068E06BC"/>
    <w:rsid w:val="069201CB"/>
    <w:rsid w:val="06B70A90"/>
    <w:rsid w:val="06B741D9"/>
    <w:rsid w:val="06C457B6"/>
    <w:rsid w:val="06CD4A70"/>
    <w:rsid w:val="06DF4C13"/>
    <w:rsid w:val="06E7678C"/>
    <w:rsid w:val="06F42A88"/>
    <w:rsid w:val="06F801C0"/>
    <w:rsid w:val="06FB38AA"/>
    <w:rsid w:val="071C13A8"/>
    <w:rsid w:val="073D143C"/>
    <w:rsid w:val="07426476"/>
    <w:rsid w:val="074855FD"/>
    <w:rsid w:val="075D3328"/>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C5765D"/>
    <w:rsid w:val="07D57946"/>
    <w:rsid w:val="07D70D20"/>
    <w:rsid w:val="07E24FF4"/>
    <w:rsid w:val="07ED524D"/>
    <w:rsid w:val="07FF0ACF"/>
    <w:rsid w:val="080124E3"/>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646846"/>
    <w:rsid w:val="0A685ED4"/>
    <w:rsid w:val="0A9B1B16"/>
    <w:rsid w:val="0A9E3D3D"/>
    <w:rsid w:val="0AA077E0"/>
    <w:rsid w:val="0AAD3F14"/>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272F83"/>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C1E494F"/>
    <w:rsid w:val="0C2059EB"/>
    <w:rsid w:val="0C2E6A23"/>
    <w:rsid w:val="0C3427D0"/>
    <w:rsid w:val="0C376577"/>
    <w:rsid w:val="0C43327D"/>
    <w:rsid w:val="0C4426AF"/>
    <w:rsid w:val="0C4577EC"/>
    <w:rsid w:val="0C5C6396"/>
    <w:rsid w:val="0C647D62"/>
    <w:rsid w:val="0C650A20"/>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62FDB"/>
    <w:rsid w:val="0CFB523A"/>
    <w:rsid w:val="0D0D4F8E"/>
    <w:rsid w:val="0D2132FE"/>
    <w:rsid w:val="0D4B44A1"/>
    <w:rsid w:val="0D6E10F4"/>
    <w:rsid w:val="0D6E2620"/>
    <w:rsid w:val="0D704E21"/>
    <w:rsid w:val="0D753731"/>
    <w:rsid w:val="0D794A06"/>
    <w:rsid w:val="0D7F48FE"/>
    <w:rsid w:val="0D826E5C"/>
    <w:rsid w:val="0D883C88"/>
    <w:rsid w:val="0D900677"/>
    <w:rsid w:val="0D966BF7"/>
    <w:rsid w:val="0DA232AE"/>
    <w:rsid w:val="0DA454F4"/>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9C5E4D"/>
    <w:rsid w:val="10AF5931"/>
    <w:rsid w:val="10C715C5"/>
    <w:rsid w:val="10D335EF"/>
    <w:rsid w:val="10DC1784"/>
    <w:rsid w:val="10E746EA"/>
    <w:rsid w:val="10E83FE0"/>
    <w:rsid w:val="10EC3168"/>
    <w:rsid w:val="10F52718"/>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40403C"/>
    <w:rsid w:val="134F381A"/>
    <w:rsid w:val="1355107F"/>
    <w:rsid w:val="135D4D2E"/>
    <w:rsid w:val="1366638D"/>
    <w:rsid w:val="136D76E8"/>
    <w:rsid w:val="137266E0"/>
    <w:rsid w:val="138B120D"/>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5FB759E"/>
    <w:rsid w:val="16002A66"/>
    <w:rsid w:val="160228F0"/>
    <w:rsid w:val="1608480E"/>
    <w:rsid w:val="161C1C58"/>
    <w:rsid w:val="162F7556"/>
    <w:rsid w:val="16413A3A"/>
    <w:rsid w:val="1644500C"/>
    <w:rsid w:val="16461A95"/>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92501"/>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72248"/>
    <w:rsid w:val="1A880997"/>
    <w:rsid w:val="1A9B2279"/>
    <w:rsid w:val="1A9E6232"/>
    <w:rsid w:val="1AA74D3D"/>
    <w:rsid w:val="1AB34DB4"/>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1A4482"/>
    <w:rsid w:val="1E273844"/>
    <w:rsid w:val="1E2D426F"/>
    <w:rsid w:val="1E2F243E"/>
    <w:rsid w:val="1E3023CB"/>
    <w:rsid w:val="1E455D19"/>
    <w:rsid w:val="1E591C14"/>
    <w:rsid w:val="1E595CAF"/>
    <w:rsid w:val="1E6607F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375A71"/>
    <w:rsid w:val="1F4F2219"/>
    <w:rsid w:val="1F721405"/>
    <w:rsid w:val="1F935819"/>
    <w:rsid w:val="1FA6556D"/>
    <w:rsid w:val="1FAC2235"/>
    <w:rsid w:val="1FAF2571"/>
    <w:rsid w:val="1FC55EDA"/>
    <w:rsid w:val="1FCE593C"/>
    <w:rsid w:val="1FE312AC"/>
    <w:rsid w:val="1FEC5915"/>
    <w:rsid w:val="1FED32EF"/>
    <w:rsid w:val="200631D6"/>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B3679"/>
    <w:rsid w:val="213E7119"/>
    <w:rsid w:val="21603012"/>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6F75"/>
    <w:rsid w:val="23131055"/>
    <w:rsid w:val="2316334C"/>
    <w:rsid w:val="23362D71"/>
    <w:rsid w:val="233C6F76"/>
    <w:rsid w:val="234449F5"/>
    <w:rsid w:val="23536618"/>
    <w:rsid w:val="235A5E8C"/>
    <w:rsid w:val="23816932"/>
    <w:rsid w:val="23876361"/>
    <w:rsid w:val="23A9484E"/>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F60CDA"/>
    <w:rsid w:val="24F84634"/>
    <w:rsid w:val="2505023E"/>
    <w:rsid w:val="250D450C"/>
    <w:rsid w:val="25134332"/>
    <w:rsid w:val="25141A5B"/>
    <w:rsid w:val="251A3E5D"/>
    <w:rsid w:val="2521546A"/>
    <w:rsid w:val="252B49E0"/>
    <w:rsid w:val="25566028"/>
    <w:rsid w:val="256D0B96"/>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6F96584"/>
    <w:rsid w:val="27047832"/>
    <w:rsid w:val="270C6B85"/>
    <w:rsid w:val="27204B5D"/>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A2E1C"/>
    <w:rsid w:val="281F4F67"/>
    <w:rsid w:val="282370EA"/>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77BB7"/>
    <w:rsid w:val="2978319A"/>
    <w:rsid w:val="2978571B"/>
    <w:rsid w:val="299752B2"/>
    <w:rsid w:val="2998751F"/>
    <w:rsid w:val="29A3014B"/>
    <w:rsid w:val="29A74CBD"/>
    <w:rsid w:val="29AE4BB2"/>
    <w:rsid w:val="29B01C34"/>
    <w:rsid w:val="29B1237D"/>
    <w:rsid w:val="29B16357"/>
    <w:rsid w:val="29B84F82"/>
    <w:rsid w:val="29BA0D88"/>
    <w:rsid w:val="29C16B52"/>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62657E"/>
    <w:rsid w:val="2A6E31F8"/>
    <w:rsid w:val="2A8A2F9C"/>
    <w:rsid w:val="2A8C2C3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13FC1"/>
    <w:rsid w:val="2B347C14"/>
    <w:rsid w:val="2B39348E"/>
    <w:rsid w:val="2B437285"/>
    <w:rsid w:val="2B4D695C"/>
    <w:rsid w:val="2B514803"/>
    <w:rsid w:val="2B637D4B"/>
    <w:rsid w:val="2B6554A9"/>
    <w:rsid w:val="2B66276A"/>
    <w:rsid w:val="2B6B1684"/>
    <w:rsid w:val="2B721F56"/>
    <w:rsid w:val="2B792D68"/>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100542"/>
    <w:rsid w:val="2C3658B0"/>
    <w:rsid w:val="2C3A7BF6"/>
    <w:rsid w:val="2C425BCE"/>
    <w:rsid w:val="2C44676A"/>
    <w:rsid w:val="2C4A080C"/>
    <w:rsid w:val="2C54533B"/>
    <w:rsid w:val="2C591378"/>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2471BB"/>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2213E"/>
    <w:rsid w:val="302A4BE6"/>
    <w:rsid w:val="30307691"/>
    <w:rsid w:val="30354EFA"/>
    <w:rsid w:val="304478EC"/>
    <w:rsid w:val="304A314A"/>
    <w:rsid w:val="3062663F"/>
    <w:rsid w:val="307A0518"/>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718F2"/>
    <w:rsid w:val="31B912B2"/>
    <w:rsid w:val="31BB30A3"/>
    <w:rsid w:val="31D20051"/>
    <w:rsid w:val="31E11582"/>
    <w:rsid w:val="31EF7EE8"/>
    <w:rsid w:val="31F459B6"/>
    <w:rsid w:val="3201404F"/>
    <w:rsid w:val="320901F5"/>
    <w:rsid w:val="320B7CCB"/>
    <w:rsid w:val="32105DE8"/>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540E5D"/>
    <w:rsid w:val="335A0521"/>
    <w:rsid w:val="335E7B11"/>
    <w:rsid w:val="3364318B"/>
    <w:rsid w:val="33691888"/>
    <w:rsid w:val="336A499A"/>
    <w:rsid w:val="336B7B03"/>
    <w:rsid w:val="33714830"/>
    <w:rsid w:val="33737F51"/>
    <w:rsid w:val="337964FF"/>
    <w:rsid w:val="337D34FB"/>
    <w:rsid w:val="337E7E0F"/>
    <w:rsid w:val="33AB157E"/>
    <w:rsid w:val="33AC3853"/>
    <w:rsid w:val="33B6494D"/>
    <w:rsid w:val="33B86AFE"/>
    <w:rsid w:val="33BF4199"/>
    <w:rsid w:val="33C111E1"/>
    <w:rsid w:val="33DB42BA"/>
    <w:rsid w:val="33EF62BE"/>
    <w:rsid w:val="33FE62E7"/>
    <w:rsid w:val="340D25F6"/>
    <w:rsid w:val="340F5E5C"/>
    <w:rsid w:val="341B3576"/>
    <w:rsid w:val="34226B44"/>
    <w:rsid w:val="342B76C7"/>
    <w:rsid w:val="342C472B"/>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87F19"/>
    <w:rsid w:val="3539550B"/>
    <w:rsid w:val="353C7CFC"/>
    <w:rsid w:val="353F422D"/>
    <w:rsid w:val="3560569E"/>
    <w:rsid w:val="356652C5"/>
    <w:rsid w:val="356678B4"/>
    <w:rsid w:val="356A4AAD"/>
    <w:rsid w:val="3573649F"/>
    <w:rsid w:val="357E4B0A"/>
    <w:rsid w:val="35866D7F"/>
    <w:rsid w:val="358F6BDF"/>
    <w:rsid w:val="35925C72"/>
    <w:rsid w:val="35A26D98"/>
    <w:rsid w:val="35AD510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B7332"/>
    <w:rsid w:val="385056AF"/>
    <w:rsid w:val="38706DCB"/>
    <w:rsid w:val="3871779B"/>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790F9D"/>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F47CE"/>
    <w:rsid w:val="3A4C62EF"/>
    <w:rsid w:val="3A4E1C5D"/>
    <w:rsid w:val="3A523735"/>
    <w:rsid w:val="3A557AE4"/>
    <w:rsid w:val="3A6577A0"/>
    <w:rsid w:val="3A6B0F84"/>
    <w:rsid w:val="3A727435"/>
    <w:rsid w:val="3A8E5120"/>
    <w:rsid w:val="3A933CAA"/>
    <w:rsid w:val="3A94055A"/>
    <w:rsid w:val="3AC17E3A"/>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81786B"/>
    <w:rsid w:val="3D830417"/>
    <w:rsid w:val="3D877AC5"/>
    <w:rsid w:val="3D882D35"/>
    <w:rsid w:val="3D8D2848"/>
    <w:rsid w:val="3D8F4A40"/>
    <w:rsid w:val="3D9000AA"/>
    <w:rsid w:val="3D94235D"/>
    <w:rsid w:val="3D9461E1"/>
    <w:rsid w:val="3DA37748"/>
    <w:rsid w:val="3DA458EB"/>
    <w:rsid w:val="3DB34E86"/>
    <w:rsid w:val="3DDB4033"/>
    <w:rsid w:val="3DE16AEE"/>
    <w:rsid w:val="3DF2476A"/>
    <w:rsid w:val="3DF95812"/>
    <w:rsid w:val="3DFB2413"/>
    <w:rsid w:val="3E0209BD"/>
    <w:rsid w:val="3E1D023C"/>
    <w:rsid w:val="3E1D4077"/>
    <w:rsid w:val="3E1D4B24"/>
    <w:rsid w:val="3E3A04FA"/>
    <w:rsid w:val="3E3D6B96"/>
    <w:rsid w:val="3E3F53BE"/>
    <w:rsid w:val="3E441C7D"/>
    <w:rsid w:val="3E490256"/>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D75714"/>
    <w:rsid w:val="41DD3BC3"/>
    <w:rsid w:val="41EE2F03"/>
    <w:rsid w:val="41F466FD"/>
    <w:rsid w:val="41F80C3F"/>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802846"/>
    <w:rsid w:val="4885015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4129A8"/>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E2807"/>
    <w:rsid w:val="4CB96B0F"/>
    <w:rsid w:val="4CC151FB"/>
    <w:rsid w:val="4CC42739"/>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D107DE"/>
    <w:rsid w:val="4EDB58B2"/>
    <w:rsid w:val="4EE925CE"/>
    <w:rsid w:val="4EEF2E30"/>
    <w:rsid w:val="4EF24828"/>
    <w:rsid w:val="4EFE7F59"/>
    <w:rsid w:val="4F171C50"/>
    <w:rsid w:val="4F252466"/>
    <w:rsid w:val="4F285975"/>
    <w:rsid w:val="4F2A7BF3"/>
    <w:rsid w:val="4F2E2624"/>
    <w:rsid w:val="4F431C53"/>
    <w:rsid w:val="4F4A2FB1"/>
    <w:rsid w:val="4F4B37ED"/>
    <w:rsid w:val="4F4B49E4"/>
    <w:rsid w:val="4F4E1077"/>
    <w:rsid w:val="4F546156"/>
    <w:rsid w:val="4F760F6C"/>
    <w:rsid w:val="4F8172FD"/>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F77EA"/>
    <w:rsid w:val="533933AA"/>
    <w:rsid w:val="533B7F54"/>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60606B7"/>
    <w:rsid w:val="560B1622"/>
    <w:rsid w:val="56106284"/>
    <w:rsid w:val="562C1706"/>
    <w:rsid w:val="5632642A"/>
    <w:rsid w:val="56375B61"/>
    <w:rsid w:val="564944F4"/>
    <w:rsid w:val="564E5820"/>
    <w:rsid w:val="56504DA0"/>
    <w:rsid w:val="565E6D49"/>
    <w:rsid w:val="56630C00"/>
    <w:rsid w:val="566753C6"/>
    <w:rsid w:val="56695DFF"/>
    <w:rsid w:val="56715C79"/>
    <w:rsid w:val="567739D2"/>
    <w:rsid w:val="567B29ED"/>
    <w:rsid w:val="5686536D"/>
    <w:rsid w:val="568B1DB1"/>
    <w:rsid w:val="56902708"/>
    <w:rsid w:val="569D619C"/>
    <w:rsid w:val="56A55214"/>
    <w:rsid w:val="56A566A9"/>
    <w:rsid w:val="56A67978"/>
    <w:rsid w:val="56AC63C5"/>
    <w:rsid w:val="56B61F71"/>
    <w:rsid w:val="56BF43D3"/>
    <w:rsid w:val="56C1700B"/>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F1B21"/>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653E3B"/>
    <w:rsid w:val="5987482A"/>
    <w:rsid w:val="599C49A8"/>
    <w:rsid w:val="599D1A9A"/>
    <w:rsid w:val="59A36725"/>
    <w:rsid w:val="59B21BF9"/>
    <w:rsid w:val="59BB4EA3"/>
    <w:rsid w:val="59D13D69"/>
    <w:rsid w:val="59E9525B"/>
    <w:rsid w:val="59F829AE"/>
    <w:rsid w:val="59FE5B32"/>
    <w:rsid w:val="5A0F7992"/>
    <w:rsid w:val="5A133665"/>
    <w:rsid w:val="5A2E75CA"/>
    <w:rsid w:val="5A3C0F08"/>
    <w:rsid w:val="5A3E5B83"/>
    <w:rsid w:val="5A41687A"/>
    <w:rsid w:val="5A5663A3"/>
    <w:rsid w:val="5A571746"/>
    <w:rsid w:val="5A6253E3"/>
    <w:rsid w:val="5A640E17"/>
    <w:rsid w:val="5A674D2B"/>
    <w:rsid w:val="5A897C95"/>
    <w:rsid w:val="5A8E6670"/>
    <w:rsid w:val="5A912613"/>
    <w:rsid w:val="5A9245E9"/>
    <w:rsid w:val="5A953D41"/>
    <w:rsid w:val="5AA57EDE"/>
    <w:rsid w:val="5AAB0558"/>
    <w:rsid w:val="5AAC6EDC"/>
    <w:rsid w:val="5ABA0544"/>
    <w:rsid w:val="5ABC50F4"/>
    <w:rsid w:val="5ACC4940"/>
    <w:rsid w:val="5AD86A6D"/>
    <w:rsid w:val="5AE119A8"/>
    <w:rsid w:val="5AEC14F6"/>
    <w:rsid w:val="5AEC4B1F"/>
    <w:rsid w:val="5AF124A4"/>
    <w:rsid w:val="5B141085"/>
    <w:rsid w:val="5B28192B"/>
    <w:rsid w:val="5B2E7D32"/>
    <w:rsid w:val="5B3C5103"/>
    <w:rsid w:val="5B460A9E"/>
    <w:rsid w:val="5B486DCE"/>
    <w:rsid w:val="5B5F300B"/>
    <w:rsid w:val="5B66707B"/>
    <w:rsid w:val="5B673066"/>
    <w:rsid w:val="5B785E83"/>
    <w:rsid w:val="5B7C1CD1"/>
    <w:rsid w:val="5B7E72A8"/>
    <w:rsid w:val="5B82056F"/>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736A0"/>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E55B1B"/>
    <w:rsid w:val="5FEA3339"/>
    <w:rsid w:val="5FEC60B6"/>
    <w:rsid w:val="5FF13CC0"/>
    <w:rsid w:val="5FF37587"/>
    <w:rsid w:val="5FFE57B7"/>
    <w:rsid w:val="60060CD5"/>
    <w:rsid w:val="600762FF"/>
    <w:rsid w:val="60085AA3"/>
    <w:rsid w:val="600E362B"/>
    <w:rsid w:val="60183392"/>
    <w:rsid w:val="601A4CB1"/>
    <w:rsid w:val="602C236D"/>
    <w:rsid w:val="60393290"/>
    <w:rsid w:val="603967D7"/>
    <w:rsid w:val="603D3325"/>
    <w:rsid w:val="60437223"/>
    <w:rsid w:val="60470CE3"/>
    <w:rsid w:val="6049414D"/>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421EFD"/>
    <w:rsid w:val="61564B4F"/>
    <w:rsid w:val="615C5041"/>
    <w:rsid w:val="61613111"/>
    <w:rsid w:val="61635733"/>
    <w:rsid w:val="61705965"/>
    <w:rsid w:val="6182260C"/>
    <w:rsid w:val="61AF6CF3"/>
    <w:rsid w:val="61D43A2B"/>
    <w:rsid w:val="61FF316E"/>
    <w:rsid w:val="620D1D12"/>
    <w:rsid w:val="620F4BAD"/>
    <w:rsid w:val="621542CB"/>
    <w:rsid w:val="62175DCD"/>
    <w:rsid w:val="621C414A"/>
    <w:rsid w:val="62383C38"/>
    <w:rsid w:val="624263A2"/>
    <w:rsid w:val="624E028B"/>
    <w:rsid w:val="625272C3"/>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3D7BE0"/>
    <w:rsid w:val="6445632E"/>
    <w:rsid w:val="646A0BCA"/>
    <w:rsid w:val="64746F5B"/>
    <w:rsid w:val="64766F57"/>
    <w:rsid w:val="647D57FA"/>
    <w:rsid w:val="64856993"/>
    <w:rsid w:val="648939AA"/>
    <w:rsid w:val="64906A4A"/>
    <w:rsid w:val="649B1AC2"/>
    <w:rsid w:val="64A7467B"/>
    <w:rsid w:val="64C86505"/>
    <w:rsid w:val="64FE700F"/>
    <w:rsid w:val="6500327F"/>
    <w:rsid w:val="650520CD"/>
    <w:rsid w:val="6506609B"/>
    <w:rsid w:val="65083216"/>
    <w:rsid w:val="650E3D55"/>
    <w:rsid w:val="653A5EE7"/>
    <w:rsid w:val="65437D2D"/>
    <w:rsid w:val="65460728"/>
    <w:rsid w:val="654C2F43"/>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74DA3"/>
    <w:rsid w:val="6609487E"/>
    <w:rsid w:val="660B75BD"/>
    <w:rsid w:val="6614592F"/>
    <w:rsid w:val="661D25CE"/>
    <w:rsid w:val="66206CF2"/>
    <w:rsid w:val="66265846"/>
    <w:rsid w:val="66287C9C"/>
    <w:rsid w:val="66337B4D"/>
    <w:rsid w:val="66344D3E"/>
    <w:rsid w:val="664805B8"/>
    <w:rsid w:val="66564EF2"/>
    <w:rsid w:val="665654C1"/>
    <w:rsid w:val="6659611C"/>
    <w:rsid w:val="665B55EA"/>
    <w:rsid w:val="66655F85"/>
    <w:rsid w:val="66697B98"/>
    <w:rsid w:val="667C7AEC"/>
    <w:rsid w:val="66920EDD"/>
    <w:rsid w:val="66984358"/>
    <w:rsid w:val="669B59E7"/>
    <w:rsid w:val="669B7C76"/>
    <w:rsid w:val="66A200F8"/>
    <w:rsid w:val="66A30EC2"/>
    <w:rsid w:val="66A45B16"/>
    <w:rsid w:val="66AA4BA8"/>
    <w:rsid w:val="66C86E79"/>
    <w:rsid w:val="66C955BD"/>
    <w:rsid w:val="66DC317D"/>
    <w:rsid w:val="66EB4314"/>
    <w:rsid w:val="670C6D27"/>
    <w:rsid w:val="670D67CE"/>
    <w:rsid w:val="67105BAB"/>
    <w:rsid w:val="6717041F"/>
    <w:rsid w:val="671B1631"/>
    <w:rsid w:val="67302DC3"/>
    <w:rsid w:val="674318B2"/>
    <w:rsid w:val="67433876"/>
    <w:rsid w:val="6746062E"/>
    <w:rsid w:val="67482028"/>
    <w:rsid w:val="674D4B22"/>
    <w:rsid w:val="67545FB3"/>
    <w:rsid w:val="67570422"/>
    <w:rsid w:val="675D31B4"/>
    <w:rsid w:val="676D2F4B"/>
    <w:rsid w:val="677261FD"/>
    <w:rsid w:val="677A266A"/>
    <w:rsid w:val="677C1A81"/>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C3525"/>
    <w:rsid w:val="69216128"/>
    <w:rsid w:val="6922410C"/>
    <w:rsid w:val="69280874"/>
    <w:rsid w:val="694C5FA5"/>
    <w:rsid w:val="695D6B21"/>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24429C"/>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773A0"/>
    <w:rsid w:val="6E990B16"/>
    <w:rsid w:val="6EB169D3"/>
    <w:rsid w:val="6EB73361"/>
    <w:rsid w:val="6EB829B1"/>
    <w:rsid w:val="6EB978A9"/>
    <w:rsid w:val="6EBB6983"/>
    <w:rsid w:val="6ECC3A24"/>
    <w:rsid w:val="6ED86D3E"/>
    <w:rsid w:val="6EE9744F"/>
    <w:rsid w:val="6EEC3F7C"/>
    <w:rsid w:val="6EF26272"/>
    <w:rsid w:val="6EFA7855"/>
    <w:rsid w:val="6EFE1485"/>
    <w:rsid w:val="6F031F8E"/>
    <w:rsid w:val="6F0D382C"/>
    <w:rsid w:val="6F225951"/>
    <w:rsid w:val="6F234FBA"/>
    <w:rsid w:val="6F2632E8"/>
    <w:rsid w:val="6F30363A"/>
    <w:rsid w:val="6F3316E5"/>
    <w:rsid w:val="6F3F365F"/>
    <w:rsid w:val="6F3F40F9"/>
    <w:rsid w:val="6F5E436B"/>
    <w:rsid w:val="6F6F14E1"/>
    <w:rsid w:val="6F7A62F8"/>
    <w:rsid w:val="6F842B01"/>
    <w:rsid w:val="6F975588"/>
    <w:rsid w:val="6FA629D4"/>
    <w:rsid w:val="6FA6727C"/>
    <w:rsid w:val="6FA75ADB"/>
    <w:rsid w:val="6FAF79BF"/>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0651FB"/>
    <w:rsid w:val="710F61AD"/>
    <w:rsid w:val="71124721"/>
    <w:rsid w:val="71151975"/>
    <w:rsid w:val="71223933"/>
    <w:rsid w:val="71336A65"/>
    <w:rsid w:val="713B0E5B"/>
    <w:rsid w:val="71486F62"/>
    <w:rsid w:val="71511268"/>
    <w:rsid w:val="71545B37"/>
    <w:rsid w:val="71573E01"/>
    <w:rsid w:val="71620B3A"/>
    <w:rsid w:val="71702748"/>
    <w:rsid w:val="717F0007"/>
    <w:rsid w:val="71867894"/>
    <w:rsid w:val="719F7A78"/>
    <w:rsid w:val="71C7540C"/>
    <w:rsid w:val="71C859E3"/>
    <w:rsid w:val="71CB1BB9"/>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8E71A4"/>
    <w:rsid w:val="739C786E"/>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4B1290"/>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258CC"/>
    <w:rsid w:val="7794068F"/>
    <w:rsid w:val="77960EFC"/>
    <w:rsid w:val="77975AFC"/>
    <w:rsid w:val="779A096B"/>
    <w:rsid w:val="779B52FF"/>
    <w:rsid w:val="77A00E75"/>
    <w:rsid w:val="77A80D17"/>
    <w:rsid w:val="77A9707E"/>
    <w:rsid w:val="77B37D67"/>
    <w:rsid w:val="77B841F3"/>
    <w:rsid w:val="77BC06A8"/>
    <w:rsid w:val="77BC5DCB"/>
    <w:rsid w:val="77C078B1"/>
    <w:rsid w:val="77E66E3C"/>
    <w:rsid w:val="77F3789A"/>
    <w:rsid w:val="780326B9"/>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7038D"/>
    <w:rsid w:val="78C76A01"/>
    <w:rsid w:val="78CE058C"/>
    <w:rsid w:val="78DF031C"/>
    <w:rsid w:val="78EC45D8"/>
    <w:rsid w:val="78EC6DF0"/>
    <w:rsid w:val="78F5335B"/>
    <w:rsid w:val="79135F7E"/>
    <w:rsid w:val="7915309D"/>
    <w:rsid w:val="791843E7"/>
    <w:rsid w:val="791B1578"/>
    <w:rsid w:val="79272A8A"/>
    <w:rsid w:val="792730E6"/>
    <w:rsid w:val="79343758"/>
    <w:rsid w:val="79395A92"/>
    <w:rsid w:val="794008FB"/>
    <w:rsid w:val="794708D9"/>
    <w:rsid w:val="794B21A1"/>
    <w:rsid w:val="795D4CA8"/>
    <w:rsid w:val="7964574A"/>
    <w:rsid w:val="797D10DD"/>
    <w:rsid w:val="79941CF2"/>
    <w:rsid w:val="79973382"/>
    <w:rsid w:val="7999518A"/>
    <w:rsid w:val="79BE31CC"/>
    <w:rsid w:val="79CC3C1F"/>
    <w:rsid w:val="79D33056"/>
    <w:rsid w:val="79D82BB5"/>
    <w:rsid w:val="79E931C2"/>
    <w:rsid w:val="79EC0256"/>
    <w:rsid w:val="79F60153"/>
    <w:rsid w:val="79FB6E2C"/>
    <w:rsid w:val="7A000A00"/>
    <w:rsid w:val="7A0C4750"/>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678D7"/>
    <w:rsid w:val="7B4B2A93"/>
    <w:rsid w:val="7B527515"/>
    <w:rsid w:val="7B5370E4"/>
    <w:rsid w:val="7B5922B3"/>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1B064F"/>
    <w:rsid w:val="7D1C60D1"/>
    <w:rsid w:val="7D1E3873"/>
    <w:rsid w:val="7D2E198F"/>
    <w:rsid w:val="7D3B3737"/>
    <w:rsid w:val="7D3D73AF"/>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A3401"/>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